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PE17.017398 vom 1. Dezember 2021</w:t>
      </w:r>
    </w:p>
    <w:p>
      <w:r>
        <w:t>VD Tribunal cantonal, 2021-12-01, FR</w:t>
      </w:r>
    </w:p>
    <w:p>
      <w:r>
        <w:rPr>
          <w:b/>
        </w:rPr>
        <w:t xml:space="preserve">Quelle: </w:t>
      </w:r>
      <w:r>
        <w:t>https://mcp.opencaselaw.ch/entscheid/vd_gerichte_PE17.017398</w:t>
      </w:r>
    </w:p>
    <w:p>
      <w:r>
        <w:t>FR: VD_GERICHTE PE17.017398 du 1 décembre 2021</w:t>
      </w:r>
    </w:p>
    <w:p>
      <w:r>
        <w:t>IT: VD_GERICHTE PE17.017398 del 1 dicembre 2021</w:t>
      </w:r>
    </w:p>
    <w:p>
      <w:pPr>
        <w:pStyle w:val="Heading2"/>
      </w:pPr>
      <w:r>
        <w:t>Erwägungen</w:t>
      </w:r>
    </w:p>
    <w:p>
      <w:r>
        <w:rPr>
          <w:b/>
        </w:rPr>
        <w:t>E. 1.1</w:t>
      </w:r>
    </w:p>
    <w:p>
      <w:r>
        <w:t>Le défenseur d’office peut recourir devant l’autorité de recours (cf. art. 20 CPP) contre la décision du Ministère public ou du tribunal de première instance fixant son indemnité (art. 135 al. 3 let. a CPP ; ATF 139 IV 199 consid. 5.2).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w:t>
      </w:r>
    </w:p>
    <w:p>
      <w:r>
        <w:t>- 4 - 2009 ; BLV 312.01] ; art. 80 LOJV [loi vaudoise d’organisation judiciaire du 12 décembre 1979 ; BLV 173.01]). En l’espèce, déposé en temps utile devant l’autorité compétente par le défenseur d’office qui a qualité pour recourir contre le jugement fixant son indemnité, le recours est recevable.</w:t>
      </w:r>
    </w:p>
    <w:p>
      <w:r>
        <w:rPr>
          <w:b/>
        </w:rPr>
        <w:t>E. 1.2</w:t>
      </w:r>
    </w:p>
    <w:p>
      <w:r>
        <w:t>Lorsque le recours porte uniquement sur les conséquences économiques accessoires d'une décision et que le montant litigieux ne dépasse pas 5'000 fr., un membre de la Chambre de céans statue comme juge unique (art. 395 let. b CPP et 13 al. 2 LVCPP). L’indemnité due au défenseur ou au conseil d'office entre dans la notion de conséquences économiques d'une décision (Schmid/Jositsch, Handbuch des schweizerischen Strafprozessrechts, 3e éd., 2017, n. 1521 ; Stephenson/Thiriet, in : Niggli/Heer/Wiprächtiger [éd.], Basler Kommentar, Schweizerische Strafprozes-sordnung, Jugendstrafprozessordnung, 2e éd., Bâle 2014, n. 5 ad art. 395 CPP ; Message du Conseil fédéral relatif à l’unification du droit de la procédure pénale du 21 décembre 2005, FF 2006 p. 1057 ss, spéc. p. 1297). Le montant litigieux qui détermine s’il appartient à la Chambre des recours pénale en corps ou à un juge de statuer sur le recours correspond à la différence entre le montant réclamé par le conseil d’office et la somme allouée en première instance (Stephenson/Thiriet, op. cit., n. 6 ad art. 395 CPP ; Juge unique CREP 12 juin 2020/454). Dans le cas particulier, la recourante réclame le montant de 19'152 fr. 55, tandis que le montant alloué dans le jugement attaqué est de 12'708 fr. 60. La différence de 6'443 fr. 95 place ainsi le recours dans la compétence de la Chambre des recours pénale en corps.</w:t>
      </w:r>
    </w:p>
    <w:p>
      <w:r>
        <w:rPr>
          <w:b/>
        </w:rPr>
        <w:t>E. 2</w:t>
      </w:r>
    </w:p>
    <w:p>
      <w:r>
        <w:t>- 5 -</w:t>
      </w:r>
    </w:p>
    <w:p>
      <w:r>
        <w:rPr>
          <w:b/>
        </w:rPr>
        <w:t>E. 2.1</w:t>
      </w:r>
    </w:p>
    <w:p>
      <w:r>
        <w:t>; ATF 139 IV 179 consid. 2.2 ; ATF 138 I 232 consid. 5.1 ; TF 6B_99/2020 du 21 avril 2020 consid. 1.2.1). Selon la jurisprudence rendue en matière de dépens, qui s'applique aux indemnités dues au défenseur d'office, la garantie du droit d'être entendu implique que, lorsque le juge statue sur la base d'une liste de frais, celui-ci doit, s'il entend s'en écarter, au moins indiquer brièvement les raisons pour lesquelles il tient certaines prétentions pour injustifiées, afin que son destinataire puisse attaquer la décision en connaissance de cause (cf. TF 6B_1251/2016 du 19 juillet 2017 consid. 3.1 ; TF 6B_796/2016 du 15 mai 2017 consid. 1 et réf. cit.).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w:t>
      </w:r>
    </w:p>
    <w:p>
      <w:r>
        <w:t>- 6 -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 ; TF 6B_1251/2016 précité consid. 3.1).</w:t>
      </w:r>
    </w:p>
    <w:p>
      <w:r>
        <w:rPr>
          <w:b/>
        </w:rPr>
        <w:t>E. 2.2</w:t>
      </w:r>
    </w:p>
    <w:p>
      <w:r>
        <w:t>Le droit d'être entendu, tel qu'il est garanti par les art. 29 al. 2 Cst. (Constitution fédérale de la Confédération suisse du 18 avril 1999 ; RS 101) et 107 CPP, implique pour l'autorité l'obligation de motiver sa décision, afin que le destinataire puisse la comprendre et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142 I 135 consid.</w:t>
      </w:r>
    </w:p>
    <w:p>
      <w:r>
        <w:rPr>
          <w:b/>
        </w:rPr>
        <w:t>E. 2.3</w:t>
      </w:r>
    </w:p>
    <w:p>
      <w:r>
        <w:t>En l’espèce, à l’issue des débats, l’avocate N.________ a soumis à l’autorité de première instance la liste de ses opérations totalisant 87 heures pour la période allant du 16 janvier 2018 au 4 octobre 2021, durée de l’audience non comprise. Elle prétendait ainsi à l’octroi d’une indemnité globale d’un montant de 15'938 fr. 35, hors TVA. La liste détaillait le temps consacré pour chaque type d’opérations. Le tribunal a réduit le temps des heures supposées nécessaires pour remplir le mandat de 92 heures, incluant la durée de l’audience, à 60 heures. Les premiers juges n’ont formulé que des généralités et n’ont pas précisé quelles opérations étaient jugées inutiles ou superflues, ni par conséquent comment ont été calculées les 32 heures qui ont été déduites. En outre, l’autorité de première instance ne s’est pas déterminée sur le recours. Partant, au vu de la jurisprudence du Tribunal fédéral, le droit d’être entendu de la recourante a été violé et le présent arrêt ne peut pas réparer cette violation, en particulier au vu de la garantie de la double instance (ATF 142 II 218 consid. 2.8.1 et les références citées ; TF 6B_1251/2016 précité consid. 3.1 ; Juge unique CREP 24 février 2020/137 consid. 2.2). Ainsi, faute de pouvoir examiner sur quelles opérations précises la réduction a été opérée, la Chambre de céans n’a d’autre choix que d’annuler le jugement dans la mesure où il est contesté et de renvoyer la cause à l’autorité intimée pour nouvelle décision. Il appartiendra ainsi au Tribunal correctionnel de l’arrondissement de La Côte de remédier aux manquements précités et d’indiquer clairement quelles opérations sont, le cas échéant, tenues pour injustifiées et pour quels motifs.</w:t>
      </w:r>
    </w:p>
    <w:p>
      <w:r>
        <w:t>- 7 -</w:t>
      </w:r>
    </w:p>
    <w:p>
      <w:r>
        <w:rPr>
          <w:b/>
        </w:rPr>
        <w:t>E. 3</w:t>
      </w:r>
    </w:p>
    <w:p>
      <w:r>
        <w:t>Au vu de ce qui précède, le recours doit être admis et les chiffres XIV et XVI du jugement attaqué annulés. Le dossier de la cause sera renvoyé à l’autorité intimée pour qu’elle procède dans le sens des considérants. Le défenseur d'office qui recourt en son nom propre a droit à des honoraires calculés sur la base du tarif horaire prévu pour l’activité déployée dans le cadre d’un mandat d’office (Juge unique CREP 24 février 2020/137 consid. 2.2 ; Juge unique CREP 28 juin 2019/537 précité consid. 3). Au vu de la nature de la cause et du mémoire produit, l’indemnité allouée à la recourante est fixée à 360 fr., correspondant à deux heures d’activité nécessaire d’avocat au tarif horaire de 180 fr., auxquels il y a lieu d’ajouter des débours forfaitaires à concurrence de 2 % des honoraires admis (art. 3bis al. 1 RAJ, applicable par renvoi de l’art. 26b TFIP [tarif des frais de procédure et indemnités en matière pénale du 28 septembre 2010 ; BLV 312.03.1]), par 7 fr. 20, plus la TVA au taux de 7,7 %, par 28 fr. 30, soit à 396 fr. au total en chiffres arrondis. Vu le sort de la cause, les frais de la procédure de recours, constitués du seul émolument d'arrêt, par 770 fr. (art. 20 al. 1 TFIP), seront laissés à la charge de l’Etat (art. 423 al. 1 CPP). Par ces motifs, la Chambre des recours pénale prononce : I. Le recours est admis. II. Les chiffres XIV et XVI du dispositif du jugement du 11 octobre 2021 sont annulés. III. Le dossier de la cause est renvoyé au Tribunal correctionnel de l’arrondissement de La Côte pour qu’il procède dans le sens des considérants. IV. Une indemnité de 396 fr. (trois cent nonante-six francs) est allouée à Me N.________ pour la procédure de recours, à la charge de l’Etat.</w:t>
      </w:r>
    </w:p>
    <w:p>
      <w:r>
        <w:t>- 8 - V. Les frais d’arrêt, par 770 fr. (sept cent septante francs), sont laissés à la charge de l’Etat. VI. L’arrêt est exécutoire. Le président : Le greffier : Du Le présent arrêt, dont la rédaction a été approuvée à huis clos, est notifié, par l'envoi d'une copie complète, à : - Me N.________, - Ministère public central, et communiqué à : - Mme la Présidente du Tribunal correctionnel de l’arrondissement de La Côte,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w:t>
      </w:r>
    </w:p>
    <w:p>
      <w:r>
        <w:t>- 9 -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