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PE17.016966 vom 28. Februar 2018</w:t>
      </w:r>
    </w:p>
    <w:p>
      <w:r>
        <w:t>VD Tribunal cantonal, 2018-02-28, FR</w:t>
      </w:r>
    </w:p>
    <w:p>
      <w:r>
        <w:rPr>
          <w:b/>
        </w:rPr>
        <w:t xml:space="preserve">Quelle: </w:t>
      </w:r>
      <w:r>
        <w:t>https://mcp.opencaselaw.ch/entscheid/vd_gerichte_PE17.016966</w:t>
      </w:r>
    </w:p>
    <w:p>
      <w:r>
        <w:t>FR: VD_GERICHTE PE17.016966 du 28 février 2018</w:t>
      </w:r>
    </w:p>
    <w:p>
      <w:r>
        <w:t>IT: VD_GERICHTE PE17.016966 del 28 febbraio 2018</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6B_574/2015 du 25</w:t>
      </w:r>
    </w:p>
    <w:p>
      <w:r>
        <w:t>- 13 - février 2016).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3.1</w:t>
      </w:r>
    </w:p>
    <w:p>
      <w:r>
        <w:t>L'appelant soutient que les premiers juges se sont livrés à une appréciation arbitraire dans le cadre de la fixation de la peine. Ils n'auraient pas tenu compte suffisamment de sa situation personnelle. La peine privative de liberté de 24 mois prononcée serait par conséquent trop sévère. L’appelant prétend qu’une peine d’une durée nettement inférieure, compatible avec le sursis partiel, aurait dû être prononcée.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w:t>
      </w:r>
    </w:p>
    <w:p>
      <w:r>
        <w:t>- 14 - de même que le comportement après l’acte et au cours de la procédure pénale (ATF 141 IV 61 consid. 6.1.1 et les références citées).</w:t>
      </w:r>
    </w:p>
    <w:p>
      <w:r>
        <w:rPr>
          <w:b/>
        </w:rPr>
        <w:t>E. 3.3</w:t>
      </w:r>
    </w:p>
    <w:p>
      <w:r>
        <w:t>Selon l'art. 42 al. 1 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CP prévoit que le juge peut suspendre partiellement l'exécution d'une peine pécuniaire, d'un travail d'intérêt général ou d'une peine privative de liberté d'un an au moins et de trois ans au plus afin de tenir compte de façon appropriée de la faute de l'auteur.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p. 10).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w:t>
      </w:r>
    </w:p>
    <w:p>
      <w:r>
        <w:t>- 15 -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le juge doit prendre en considération non seulement les circonstances concrètes de l’infraction, mais encore les circonstances personnelles jusqu’au moment du jugement (ATF 135 IV 180). Le sursis est désormais la règle dont on ne peut s'écarter qu'en présence d'un pronostic défavorable. Il prime en cas d'incertitude (TF 6B_492/2008 du 19 mai 2009 consid. 3.1.2; ATF 134 IV 1 consid. 4.2.2). L'art. 42 CP a été modifié avec effet au 1er janvier 2018 (cf. RO 2016 1249). Dans sa nouvelle teneur, l'art. 42 CP dispose que le juge suspend en règle générale l'exécution d'une peine pécuniaire ou d'une peine privative de liberté de deux ans au plus lorsqu'une peine ferme ne paraît pas nécessaire pour détourner l'auteur d'autres crimes ou délits (al. 1). L'art. 43 al. 1 CP prévoit que le juge peut suspendre partiellement l'exécution d'une peine privative de liberté d'un an au moins et de trois ans au plus afin de tenir compte de façon appropriée de la faute de l'auteur.</w:t>
      </w:r>
    </w:p>
    <w:p>
      <w:r>
        <w:rPr>
          <w:b/>
        </w:rPr>
        <w:t>E. 3.4</w:t>
      </w:r>
    </w:p>
    <w:p>
      <w:r>
        <w:t>En l'espèce, le tribunal correctionnel a motivé en détail (art. 50 CP) sur quels éléments il s’était fondé pour fixer la peine. Les premiers juges ont considéré que la culpabilité de l’appelant était lourde, en raison d'abord de la gravité objective des faits. Le butin était considérable et l'appelant avait choisi soigneusement ses victimes parmi les personnes âgées. Celui-ci était venu à plusieurs reprises depuis la France, profitant de commettre ses infractions pendant le week-end, lorsque l'affluence aux distributeurs automatiques était grande. Ensuite, le prévenu n'avait pas réellement collaboré à l'enquête, n'admettant les faits que lorsqu'ils étaient démontrés par les enquêteurs. En outre, il n'avait pas semblé avoir pris réellement conscience de sa culpabilité, et ses antécédents ne plaidaient pas en sa faveur. Enfin, les infractions étaient en concours (art. 49 al. 1 CP).</w:t>
      </w:r>
    </w:p>
    <w:p>
      <w:r>
        <w:t>- 16 - A décharge les premiers juges ont pris en considération le bon comportement en prison, les regrets exprimés et, dans une mesure limitée, l'addiction au jeu alléguée par l'appelant, précisant qu'il n'existait au dossier aucun indice sérieux d'une diminution de sa capacité cognitive ou volitive. En définitive, ils ont infligé la peine de 24 mois privation de liberté requise par le Ministère public. Pour la cour de céans, cette appréciation est adéquate. Les premiers juges ont en effet pris en considération tous les éléments pertinents à charge et à décharge. Le fait que l’appelant soit père de deux filles en bas-âge ne constitue pas une circonstance nouvelle – ses enfants étant âgées de 4 et 2 ans au moment du jugement attaqué – de nature à modifier l’appréciation des premiers juges. De toute manière, ceux-ci avaient à l’esprit la situation familiale du prévenu au moment de fixer la peine, puisqu’elle est rappelée en page 11 du jugement. Pour le reste, la peine se situe au bas de la fourchette pour le vol en bande, qui peut être réprimé d'une peine privative de liberté pouvant aller jusqu'à 10 ans (art. 139 ch. 3 CP). S’agissant du sursis, la cour de céans considère que celui-ci a été refusé à juste titre par les premiers juges. En effet, l'appelant a déjà été condamné à six reprises en France, pour de nombreuses infractions. Il a déjà exécuté une peine d'emprisonnement sans que cela ne le dissuade de récidiver en Suisse. Le pronostic est donc clairement défavorable, dès lors que les circonstances invoquées par le prévenu, soit sa situation de père de famille et l’existence d'un travail, prévalaient déjà lors de la commission des infractions. Les moyens doivent par conséquent être rejetés.</w:t>
      </w:r>
    </w:p>
    <w:p>
      <w:r>
        <w:rPr>
          <w:b/>
        </w:rPr>
        <w:t>E. 4</w:t>
      </w:r>
    </w:p>
    <w:p>
      <w:r>
        <w:t>La détention subie par Z.________ depuis le jugement de première instance doit être déduite (art. 51 CP). Le maintien en détention pour des motifs de sûreté du prévenu sera ordonné pour garantir l'exécution de la peine, vu le risque de fuite qu’il présente (art. 221 al. 1 let. a CPP). En effet, sans attache en Suisse, il est à craindre, dans</w:t>
      </w:r>
    </w:p>
    <w:p>
      <w:r>
        <w:t>- 17 - l’hypothèse d’une libération, qu’il soit tenté de regagner son pays, la France, où réside sa famille.</w:t>
      </w:r>
    </w:p>
    <w:p>
      <w:r>
        <w:rPr>
          <w:b/>
        </w:rPr>
        <w:t>E. 5</w:t>
      </w:r>
    </w:p>
    <w:p>
      <w:r>
        <w:t>En définitive, l’appel de Z.________ doit être rejeté et le jugement entrepris confirmé. Vu l’issue de l’appel, les frais d’appel, constitués de l’émolument d’arrêt, par 1’720 fr. (art. 21 al. 1 et 2 TFIP [Tarif des frais de procédure et indemnités en matière pénale du 28 septembre 2010; RSV 312.03.1]), seront mis à la charge de l’appelant, qui succombe (art. 428 al. 1, 1re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