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PE17.016885 vom 5. Juli 2018</w:t>
      </w:r>
    </w:p>
    <w:p>
      <w:r>
        <w:t>VD Tribunal cantonal, 2018-07-05, FR</w:t>
      </w:r>
    </w:p>
    <w:p>
      <w:r>
        <w:rPr>
          <w:b/>
        </w:rPr>
        <w:t xml:space="preserve">Quelle: </w:t>
      </w:r>
      <w:r>
        <w:t>https://mcp.opencaselaw.ch/entscheid/vd_gerichte_PE17.016885</w:t>
      </w:r>
    </w:p>
    <w:p>
      <w:r>
        <w:t>FR: VD_GERICHTE PE17.016885 du 5 juillet 2018</w:t>
      </w:r>
    </w:p>
    <w:p>
      <w:r>
        <w:t>IT: VD_GERICHTE PE17.016885 del 5 luglio 2018</w:t>
      </w:r>
    </w:p>
    <w:p>
      <w:pPr>
        <w:pStyle w:val="Heading2"/>
      </w:pPr>
      <w:r>
        <w:t>Erwägungen</w:t>
      </w:r>
    </w:p>
    <w:p>
      <w:r>
        <w:rPr>
          <w:b/>
        </w:rPr>
        <w:t>E. 3</w:t>
      </w:r>
    </w:p>
    <w:p>
      <w:r>
        <w:t>En définitive, la demande de révision déposée par T.________ doit être admise. Le dossier de la cause sera transmis au Tribunal correctionnel de l’arrondissement de La Côte pour nouveau jugement. Ce Tribunal devra fixer de nouveaux débats à l’issue desquels une nouvelle peine sera prononcée pour tenir compte de la responsabilité restreinte de</w:t>
      </w:r>
    </w:p>
    <w:p>
      <w:r>
        <w:t>- 9 - T.________. Ce Tribunal devra également se prononcer sur l’opportunité de prononcer une éventuelle mesure au sens des art. 56 ss CP. A titre de mesure d’instruction, les premiers juges verseront à leur dossier un exemplaire du rapport d’expertise psychiatrique déposé le 24 juin 2019 par le Département de psychiatrie, Institut de psychiatrie légale (IPL) dans le cadre du dossier pénal référencé sous cote PE18.016704-BDR concernant T.________. Sur la base de la liste des opérations produite par Me Céline Desscan, défenseur d’office de T.________, et dont il n’y a pas lieu de s’écarter, une indemnité d'un montant de 1'038 fr. 10, TVA et débours inclus, lui sera allouée pour la procédure de révision. Vu l’issue de la cause, les frais de la procédure de révision, par 1’918 fr. 10, comprenant l’émolument du jugement, par 880 fr. (art. 21 TFIP [Tarif des frais de procédure et indemnités en matière pénale du 28 septembre 2010 ; BLV 312.03.1], par renvoi de l'art. 22 TFIP), et l’indemnité allouée au défenseur d’office du requérant, par 1'038 fr. 10,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