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PE17.016848 vom 6. Dezember 2017</w:t>
      </w:r>
    </w:p>
    <w:p>
      <w:r>
        <w:t>VD Tribunal cantonal, 2017-12-06, FR</w:t>
      </w:r>
    </w:p>
    <w:p>
      <w:r>
        <w:rPr>
          <w:b/>
        </w:rPr>
        <w:t xml:space="preserve">Quelle: </w:t>
      </w:r>
      <w:r>
        <w:t>https://mcp.opencaselaw.ch/entscheid/vd_gerichte_PE17.016848</w:t>
      </w:r>
    </w:p>
    <w:p>
      <w:r>
        <w:t>FR: VD_GERICHTE PE17.016848 du 6 décembre 2017</w:t>
      </w:r>
    </w:p>
    <w:p>
      <w:r>
        <w:t>IT: VD_GERICHTE PE17.016848 del 6 dicembre 2017</w:t>
      </w:r>
    </w:p>
    <w:p>
      <w:pPr>
        <w:pStyle w:val="Heading2"/>
      </w:pPr>
      <w:r>
        <w:t>Erwägungen</w:t>
      </w:r>
    </w:p>
    <w:p>
      <w:r>
        <w:rPr>
          <w:b/>
        </w:rPr>
        <w:t>E. 18</w:t>
      </w:r>
    </w:p>
    <w:p>
      <w:r>
        <w:t>consid. 3a ; ATF 122 II 422 consid. 3a ; ATF 122 IV 246 consid. 3a et les arrêts cités; TF 6B_599/2011 du 16 mars 2012 consid. 2.1.1). Un édifice de mensonges, pour être astucieux, n'est réalisé que si les mensonges sont l'expression d'une rouerie particulière et se recoupent de manière si subtile que même une victime faisant preuve d'esprit critique se laisserait tromper (ATF 119 IV 28 consid. 3c ; Dupuis et alii [éd.], Petit commentaire du Code pénal, Bâle 2017, n. 12 ad art. 146 CP, p. 959 ; CREP 18 janvier 2013/49 consid. 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 Du point de vue subjectif, l’auteur doit avoir agi intentionnellement et dans un dessein d’enrichissement illégitime. Cet enrichissement, de l’auteur</w:t>
      </w:r>
    </w:p>
    <w:p>
      <w:r>
        <w:t>- 7 - lui-même ou d’un tiers, est en général le pendant de l’appauvrissement de la victime et peut donc aussi être déduit de l’intention de causer un préjudice à la victime (ATF 119 IV 210 consid. 4b). 2.3 L'art. 138 ch. 1 CP (abus de confiance) réprime notamment celui qui, sans droit, aura employé à son profit ou au profit d'un tiers des valeurs patrimoniales qui lui avaient été confiées.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(ATF 120 IV 117 consid. 2f). S'agissant d'un prêt, un tel devoir fera en règle générale défaut, puisque le débiteur n'est en principe tenu que de rembourser la somme prêtée (ATF 124 IV 9 consid. 1a). Des fonds prêtés ne représentent d'ailleurs qu'exceptionnellement des valeurs patrimoniales appartenant à autrui. L'appartenance à autrui des valeurs patrimoniales prêtées et le devoir d'en conserver la contre-valeur (Werterhaltungspflicht) ne seront retenus que lorsque leur affectation est clairement prédéfinie, et sert dans le même temps à assurer la couverture du risque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sur le tout : Dupuis et alii, op. cit., n. 35 ad art. 138 CP et les références citées ; CREP 24 juin 2017/434 consid. 2.1 et réf.). 2.4 En l'espèce, la plaignante aurait acheté et rendu un chien à la prévenue, une éleveuse domiciliée en France. Le jour de la restitution de cet animal, il aurait été convenu verbalement que la prévenue devait revendre ce chien en France, puis verser 2'500 € à la plaignante. Lors de cette discussion, la prévenue aurait encore expliqué à la plaignante être</w:t>
      </w:r>
    </w:p>
    <w:p>
      <w:r>
        <w:t>- 8 - dans le désarroi en raison de la mort de son seul chien reproducteur. La plaignante lui aurait alors prêté 10'000 € sans lui faire signer une reconnaissance de dette.J.________ d'avoir commis à son encontre une escroquerie et un abus de confiance en refusant, malgré ses multiples relances, de lui restituer les 10'000 € prêtés et le produit de la revente du chien (2'500 €). Elle a maintenu sa position dans son recours en demandant que justice lui soit rendue. On relève que la plaignante ne démontre pas avoir versé les 10'000 € litigieux à la prévenue ; la seule pièce qu'elle produit à ce sujet ne fait état que du prélèvement de l'équivalent de cette somme en francs suisses. On n'a, par ailleurs, aucune trace écrite de l'accord intervenu pour la revente du chien en France, de sorte que rien ne permet d’en établir les modalités. Enfin, par SMS du 26 avril 2017, la plaignante s'est dite entièrement désintéressée. Si F.________ a donné à la prévenue une importante somme d'argent sans autre difficulté, sans lui faire signer de reconnaissance de dette et sans conclure un contrat de prêt pour cet argent, elle n'a observé aucune des mesures de prudence élémentaires que les circonstances commandaient. Les termes de sa plainte montrent, au demeurant, qu'elle s'est laissé attendrir par le désarroi de la prévenue qui n'a ainsi pas cherché à la duper par des mensonges. Il n'y a donc pas d'astuce. Or faute d'astuce, l'infraction d'escroquerie n'est pas réalisée. Par ailleurs, la recourante ne prétend pas que le prêt litigieux aurait été fait à des conditions précises. Elle n'établit ainsi pas l'existence d'un devoir à la charge de la bénéficiaire du prêt au sens de la jurisprudence ci-dessus (ATF 120 IV 117, JdT 1996 IV 35). Quoi qu'il en soit, on ignore si ce prêt a existé et quelles en auraient été les modalités. Les éléments constitutifs d'une infraction d'abus de confiance ne sont donc pas non plus réunis. Au vrai, les faits décrits F.________ dans sa plainte du 21 juillet 2017 ne réalisent aucune autre infraction contre le patrimoine. La cause</w:t>
      </w:r>
    </w:p>
    <w:p>
      <w:r>
        <w:t>- 9 - est donc purement civile et il appartiendra à la plaignante d’intenter, le cas échéant, un procès devant la juridiction civile française compétente au lieu de domicile de la prévenue pour récupérer son argent. C'est donc à bon droit que le Ministère public a refusé d’entrer en matière, l'affaire ne relevant pas de la compétence de la justice pénale. 3. 3.1 En définitive, le recours de F.________, manifestement mal fondé, doit être rejeté sans autres échange d’écritures (art. 390 al. 2 CPP) et l'ordonnance de non-entrée en matière du 14 septembre 2017 confirmée. 3.2 Les frais de la procédure de recours, constitués en l’espèce du seul émolument d’arrêt (art. 422 al. 1 CPP), par 990 fr. (art. 20 al. 1 TFIP [tarif des frais de procédure et indemnités en matière pénal ; RSV 312.03.1]), seront mis à la charge de la recourante, qui succombe (art. 428 al. 1 CPP). Par ces motifs, la Chambre des recours pénale prononce : I. Le recours est rejeté. II. L'ordonnance du 14 septembre 2017 est confirmée. III. Les frais de la procédure de recours, par 990 fr. (neuf cent nonante francs), sont mis à la charge de la recourante F.________. IV. L’arrêt est exécutoire. Le président : La greffière :</w:t>
      </w:r>
    </w:p>
    <w:p>
      <w:r>
        <w:t>- 10 - Du Le présent arrêt, dont la rédaction a été approuvée à huis clos, est notifié, par l'envoi d'une copie complète, à : - Mme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