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PE17.016380 vom 17. Dezember 2019</w:t>
      </w:r>
    </w:p>
    <w:p>
      <w:r>
        <w:t>VD Tribunal cantonal, 2019-12-17, FR</w:t>
      </w:r>
    </w:p>
    <w:p>
      <w:r>
        <w:rPr>
          <w:b/>
        </w:rPr>
        <w:t xml:space="preserve">Quelle: </w:t>
      </w:r>
      <w:r>
        <w:t>https://mcp.opencaselaw.ch/entscheid/vd_gerichte_PE17.016380</w:t>
      </w:r>
    </w:p>
    <w:p>
      <w:r>
        <w:t>FR: VD_GERICHTE PE17.016380 du 17 décembre 2019</w:t>
      </w:r>
    </w:p>
    <w:p>
      <w:r>
        <w:t>IT: VD_GERICHTE PE17.016380 del 17 dicembre 2019</w:t>
      </w:r>
    </w:p>
    <w:p>
      <w:pPr>
        <w:pStyle w:val="Heading2"/>
      </w:pPr>
      <w:r>
        <w:t>Erwägungen</w:t>
      </w:r>
    </w:p>
    <w:p>
      <w:r>
        <w:rPr>
          <w:b/>
        </w:rPr>
        <w:t>E. 5</w:t>
      </w:r>
    </w:p>
    <w:p>
      <w:r>
        <w:t>Invoquant une violation de l'art. 42 al. 1 CP, l'appelant s'en prend tout d'abord à la motivation du jugement qui concerne non le sursis mais la fixation de la peine dans sa quotité. Il fait valoir qu'il n'a qu'un antécédent ancien, de peu de gravité et dans un autre domaine, de sorte qu'on ne saurait en tenir compte « à charge » « dans l'examen du pronostic d'amendement ». Il soutient ensuite que l'autorité de première instance aurait dû tenir compte de sa bonne collaboration à l'enquête dès lors qu'il a admis les faits durant l'enquête, si ce n'est dès sa première audition. Il fait encore valoir qu'il a exprimé des regrets pour ses actes, qu'il a indiqué justement que ces actes étaient liés à sa consommation d'alcool, que s'il ne les a pas décrits avec précision c'est parce qu'il souffre de pertes de mémoire, de sorte qu'il faudrait admettre qu'il y a une réelle prise de conscience. Enfin, il soutient que le risque de récidive serait faible.</w:t>
      </w:r>
    </w:p>
    <w:p>
      <w:r>
        <w:rPr>
          <w:b/>
        </w:rPr>
        <w:t>E. 5.1</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Pour formuler un pronostic sur l'amendement de l'auteur, le juge doit se livrer à une appréciation d'ensemble, tenant compte des circonstances de l'infraction, des antécédents de l'auteur, de sa réputation</w:t>
      </w:r>
    </w:p>
    <w:p>
      <w:r>
        <w:t>- 14 -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consid. 1.2.1).</w:t>
      </w:r>
    </w:p>
    <w:p>
      <w:r>
        <w:rPr>
          <w:b/>
        </w:rPr>
        <w:t>E. 5.2</w:t>
      </w:r>
    </w:p>
    <w:p>
      <w:r>
        <w:t>En l’espèce, le Tribunal correctionnel a prononcé une peine ferme en raison « du risque de récidive élevé, de l'anosognosie du prévenu et de l'absence de prise de conscience de la gravité de ses actes » (jgt, p. 28). Le jugement précise encore que la prise de conscience « est nulle, même si le prévenu paraît regretter ses actes ». Les experts ont estimé que le risque de récidive de manifestations hétéroagressives était élevé en cas de consommation d'alcool (P. 29, réponse 3.2) et qu'en cas de maintien de l'abstinence, le risque résiduel pouvait être considéré comme faible à modéré. Cela signifie que l’appelant, qui souffre notamment d'une dépendance à l'alcool, présente un risque élevé de récidive si l'on ne fait rien et que seule l'instauration d'une mesure impliquant abstinence pourra réduire ce risque. C'est donc à juste titre que les premiers juges ont retenu un risque de récidive élevé, sans que l'antécédent de 2011 pour une infraction par négligence ait à jouer un rôle. Le fait que l’appelant ait admis les faits et soit capable de se rendre compte que son comportement est lié à sa consommation d'alcool ne change rien à ce qui précède, dans la mesure</w:t>
      </w:r>
    </w:p>
    <w:p>
      <w:r>
        <w:t>- 15 - où il n’est pas capable de maîtriser seul sa consommation et où il ne le souhaite d’ailleurs même pas.</w:t>
      </w:r>
    </w:p>
    <w:p>
      <w:r>
        <w:rPr>
          <w:b/>
        </w:rPr>
        <w:t>E. 6</w:t>
      </w:r>
    </w:p>
    <w:p>
      <w:r>
        <w:t>Invoquant une violation de l'art. 56 al. 2 et 3 CP et de l'art. 36 al. 3 Cst., l'appelant conteste la nécessité d'une mesure pénale, eu égard aux mesures civiles déjà en place. Il reproche aux premiers juges de s'être écartés des recommandations des experts.</w:t>
      </w:r>
    </w:p>
    <w:p>
      <w:r>
        <w:rPr>
          <w:b/>
        </w:rPr>
        <w:t>E. 6.1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d'ultima ratio lorsque la dangerosité existante ne peut être écartée autrement (TF 6B_457/2007 consid. 5.2 ; ATF 118 IV 108 consid. 2a). Lorsque l'auteur souffre d'un grave trouble mental, le juge peut ordonner un traitement institutionnel si l'auteur a commis un crime ou un délit en relation avec ce trouble et s'il est à prévoir que cette mesure le détournera de nouvelles infractions en relation avec ce trouble</w:t>
      </w:r>
    </w:p>
    <w:p>
      <w:r>
        <w:t>- 16 -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consid. 3.3.3 ; TF 6B_133/2017 consid. 1.2).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consid. 2.1).</w:t>
      </w:r>
    </w:p>
    <w:p>
      <w:r>
        <w:t>- 17 -</w:t>
      </w:r>
    </w:p>
    <w:p>
      <w:r>
        <w:rPr>
          <w:b/>
        </w:rPr>
        <w:t>E. 6.2</w:t>
      </w:r>
    </w:p>
    <w:p>
      <w:r>
        <w:t>L’appelant a fait l’objet d’une expertise dont les conclusions ont été prises en considération par le Tribunal correctionnel. Le fait que la lecture qu'en font les juges et l'appelant diverge n'implique pas qu'il y aurait une violation de l'art. 56 al. 3 CP. Il ressort de l'expertise que l’appelant souffre de troubles résiduels et troubles psychotiques de survenue tardive liés à l'utilisation d'alcool, de troubles mentaux et du comportement liés à l'utilisation d'alcool, d’un syndrome de dépendance, actuellement abstinent et d’un fonctionnement intellectuel limite probable. L’appelant, qui a poursuivi un infirmier en brandissant un marteau et un cutter, ne conteste pas que ses actes délictueux soient liés à ses troubles, ni qu'une mesure maintenant l'abstinence sera de nature à réduire le risque de récidive. Il soutient seulement que le juge pénal n'a pas besoin d'ordonner une mesure car le juge civil l'a déjà fait, et que la mesure en place est efficace. Les premiers juges ont, à juste titre, estimé que les mesures civiles et pénales n'avaient pas les mêmes objectifs et conditions et n’étaient pas soumises aux mêmes contrôles. En effet, le but de la mesure pénale de l'art. 59 CP est de prévenir la récidive par un traitement dynamique et de garantir ainsi la sécurité publique (Dupuis et al., Code pénal, Petit commentaire, 2e éd., Bâle 2017, n. 12 ad art. 59 CP). Le placement à des fins d'assistance est destiné à protéger la personne, si nécessaire contre elle-même, et à lui fournir l'aide et les soins dont elle a besoin, le but étant de faire en sorte que l'intéressé puisse retrouver son autonomie (TF 5A 444/2014 consid. 3.2 ; CCUR du 12 novembre 2018/214 consid. 4.2.1 ; CCUR 30 mai 2016/103 consid. 2.2 ; CCUR 8 décembre 2014/301). Quand bien même la mise en danger grave de la vie et de l'intégrité physique d'autrui peut aussi fonder le besoin d'assistance personnelle de la personne concernée (ATF 138 III 593, Si 2013 I 152 ; Steinauer/Fountoulakis, Droit des personnes physiques et de la protection de l'adulte, Berne 2014, n. 1366a, p. 597), la mesure de protection n'a jamais de but ou de contenu disciplinaire ou quasi pénal, même s'il arrive que la personne concernée le ressente ainsi (Meier, Droit de la protection de l'adulte, art. 360-456 CC, Zürich 2016, n. 676). Ainsi, rien n'empêche la</w:t>
      </w:r>
    </w:p>
    <w:p>
      <w:r>
        <w:t>- 18 - juxtaposition d'une mesure civile avec une mesure thérapeutique institutionnelle. En l'espèce, l’appelant est déjà civilement privé de liberté à des fins d'assistance. Un traitement institutionnel au sens de l'art. 59 CP ne restreindrait un peu plus sa liberté que s'il s'effectuait dans un établissement fermé en ce sens que le prévenu n'aurait plus de sorties comme celle au terme de laquelle ont eu lieu les faits de la cause. Le jugement ne préconise toutefois pas cette solution (jgt, p. 28), ce qui paraît adéquat. On ne peut donc pas dire que le traitement institutionnel ordonné serait disproportionné. L'exécution concrète de la mesure pénale pourra se faire dans les mêmes conditions que la mesure civile. Ce qui dérange en réalité l'appelant, c'est le fait qu'il sera soumis à une mesure destinée à assurer la sécurité d'autrui et non plus seulement la sienne, qui en d'autres termes sera maintenue non pas seulement jusqu'à ce qu'il soit en mesure de se prendre en charge sans se mettre en danger par sa consommation, mais jusqu'à ce qu'il ne représente plus un danger pour les autres. L’appelant remplit les conditions de l'art. 59 CP. La mesure civile pourrait être levée. Les premiers juges ont dès lors ordonné à raison un traitement institutionnel. Il appartiendra aux autorités, à savoir la justice de paix et l'office d'exécution des peines, de se coordonner quant à la nature du placement et au choix de l'institution (CAPE, 3 octobre 2019/361).</w:t>
      </w:r>
    </w:p>
    <w:p>
      <w:r>
        <w:rPr>
          <w:b/>
        </w:rPr>
        <w:t>E. 7</w:t>
      </w:r>
    </w:p>
    <w:p>
      <w:r>
        <w:t>En définitive, l’appel doit être rejeté et le jugement entrepris intégralement confirmé. Me Vladimir Chautems, défenseur d’office de Q.________, a produit en audience une liste d’opérations (P. 63) dont il n’y a pas lieu de s’écarter, si ce n’est pour y ajouter le temps consacré à l’audience d’appel. C’est ainsi une indemnité de 2’334 fr. 70 qui sera allouée à Me Chautems, correspondant à 10h30 d’activité au tarif horaire de 180 fr., des débours forfaitaires de 2% et la TVA de 7,7% sur le tout.</w:t>
      </w:r>
    </w:p>
    <w:p>
      <w:r>
        <w:t>- 19 - Vu l’issue de la cause, les frais de la procédure d’appel, soit l’émolument par 1'720 fr. (art. 21 al. 1 et 2 TFIP [Tarif des frais de procédure et indemnités en matière pénale du 28 septembre 2010 ; BLV 312.03.1]) et l'indemnité du défenseur d'office de l'appelant, par 2’334 fr. 70, soit un total de 4'054 fr. 70, sont mis à la charge de Q.________, qui succombe (art. 428 al. 1, 1re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