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PE17.016267 vom 7. Mai 2019</w:t>
      </w:r>
    </w:p>
    <w:p>
      <w:r>
        <w:t>VD Tribunal cantonal, 2019-05-07, FR</w:t>
      </w:r>
    </w:p>
    <w:p>
      <w:r>
        <w:rPr>
          <w:b/>
        </w:rPr>
        <w:t xml:space="preserve">Quelle: </w:t>
      </w:r>
      <w:r>
        <w:t>https://mcp.opencaselaw.ch/entscheid/vd_gerichte_PE17.016267</w:t>
      </w:r>
    </w:p>
    <w:p>
      <w:r>
        <w:t>FR: VD_GERICHTE PE17.016267 du 7 mai 2019</w:t>
      </w:r>
    </w:p>
    <w:p>
      <w:r>
        <w:t>IT: VD_GERICHTE PE17.016267 del 7 maggio 2019</w:t>
      </w:r>
    </w:p>
    <w:p>
      <w:pPr>
        <w:pStyle w:val="Heading2"/>
      </w:pPr>
      <w:r>
        <w:t>Erwägungen</w:t>
      </w:r>
    </w:p>
    <w:p>
      <w:r>
        <w:rPr>
          <w:b/>
        </w:rPr>
        <w:t>E. 12</w:t>
      </w:r>
    </w:p>
    <w:p>
      <w:r>
        <w:t>grammes de substance pure le seuil à partir duquel la méthamphétamine peut mettre en danger la santé de nombreuses personnes. Les tribunaux cantonaux considèrent que cette expertise fixe le seuil du cas grave pour cette substance (cf. Favre/Pellet/Stoudmann, Code annoté de droit pénal accessoire, Lausanne 2018, n. 2.8 ad art. 19 LStup et les références citées) et, dans un arrêt très récent, le Tribunal fédéral a jugé qu’il n’était pas critiquable, pour la juridiction cantonale, de s’être fondée sur cette étude, citée par la doctrine, pour apprécier l’existence d’un cas aggravé en matière de crystal meth (TF 6B_504/2019 du 29 juillet 2019 consid. 2.4). Aux termes de l’art. 19a ch. 1 LStup dispose que celui qui, sans droit, aura consommé intentionnellement des stupéfiants ou celui qui aura commis une infraction à l’art. 19 pour assurer sa propre consommation est passible de l’amende. Mis à part le fait de consommer, l’art 19a LStup ne vise que les actes destinés exclusivement à permettre à l’auteur de se procurer de la drogue pour sa propre consommation. En revanche, les actes qui conduisent à la consommation de drogue par des tiers ne peuvent pas bénéficier du traitement privilégié de l’art. 19a LStup (ATF 119 IV 180 consid. 2a). 3.2 En l’espèce, c’est en vain que l’appelant conteste les transactions de méthamphétamine avec M.________ retenues à son encontre. Comme l’ont relevé les premiers juges, les déclarations de ce dernier ne sont aucunement sujettes à caution, tous d’eux s’accordant sur les quantités et M.________ ayant admis avoir lui-même vendu du crystal</w:t>
      </w:r>
    </w:p>
    <w:p>
      <w:r>
        <w:t>- 20 - meth à des tiers, s’incriminant lui-même de la sorte. Contrairement à ce que prétend V.________, M.________ a déclaré qu’il lui avait acheté de la méthamphétamine et a admis en avoir lui-même vendu dès sa première audition, en expliquant qu’il lui avait acheté 6 grammes de crystal à 400 fr., sur la période de l’été 2016 au début de l’année 2017, qu’il lui achetait à coups de 0,1 ou 0,2 gramme, soit 40 fr. le 0,1 gramme et qu’il lui avait échangé 20 pilules thaïes contre 1 gramme de crystal au début de l’été 2016 (PV aud. 19, R. 5 et 9). Il a ensuite revu ces quantités à la baisse lors de son audition ultérieure, en exposant avoir acheté à V.________ 4 grammes à coups de 0,1 grammes pour un total de 1'600 fr. et lui avoir, en sus, échangé une vingtaine de pilules thaïes contre un gramme de crystal (PV aud. 20, R. 5 et PV aud. 21). C'est cette version la plus favorable à l'appelant qui a finalement été retenue. Les contradictions invoquées par ce dernier dans les déclarations de M.________ portent sur des points de détail qui ne sont pas déterminants et qui ne suffisent en tout cas pas à les écarter, ni même à les rendre moins crédibles. On relèvera que le prénommé n’avait pas besoin de mettre en cause V.________ pour favoriser sa position auprès des enquêteurs, puisque pour ce faire il lui suffisait – comme il l’a du reste fait – de dénoncer le trafic bien plus important de [...]. Enfin, les déclarations de M.________ sont renforcées par les divers témoignages de personnes ayant mis en cause V.________ pour avoir fait du trafic. Quant aux déclarations de S.________, qui ne font pas état du trafic de son époux et qui mettent au contraire en cause M.________, il n’y a pas lieu de s’y fier au vu de ses liens avec l'intéressé. 3.3 Au terme d’une argumentation vague, l’appelant plaide que l’étude réalisée en juin 2010 par la Société suisse de médecine légale et sur laquelle les tribunaux se fondent pour retenir le seuil de 12 grammes de méthamphétamine pour retenir le cas grave de l’art. 19 al. 2 let. a LStup ne serait plus d’actualité. Selon lui, notamment, « les experts se sont finalement prononcés sur 12 grammes pour des raisons qui ont pu évoluer depuis 2010 et qui sont discutables ». Cela étant, quel que soit l’avis de l’appelant, qui ne se fonde pas sur des éléments scientifiques, il</w:t>
      </w:r>
    </w:p>
    <w:p>
      <w:r>
        <w:t>- 21 - n'existe aucune raison de s'écarter de la jurisprudence cantonale approuvée par le Tribunal fédéral. 3.4 Enfin, tout comme les premiers juges, la Cour de céans ne partage pas l’interprétation que fait l’appelant de l’ATF 120 IV 334 pour soutenir que la remise à titre gratuit de méthamphétamine à son épouse ne devrait pas être retenue dans le calcul des quantités du cas grave. Dans cet arrêt, le Tribunal fédéral a jugé que le comportement de l’auteur qui avait remis des stupéfiants à son amie était illicite, mais qu’il l’avait fait dans l’espoir de la sortir de sa dépendance, en la rationnant progressivement, et que le fait que la personne dépendante puisse être ainsi détournée de la délinquance, de la prostitution et de l’abandon pesait davantage que le simple risque abstrait d’une mise en danger de la santé de nombreuses personnes, en l’occurrence négligeable. Ce comportement, en soi illicite, constituait un risque admissible. Ces circonstances ne sont aucunement réunies en l’espèce. Comme l’ont exposé en détail les premiers juges en pp. 27 et 28 de leur jugement – motivation à laquelle il y a lieu de se référer – l’appelant n’a aucunement agi pour sortir son épouse de la dépendance. Il a au contraire favorisé cette dépendance, la substance en question étant très hautement addictive, pour satisfaire son envie de consommer en compagnie festive, comme il le faisait avec ses amis, pour lesquels il n’hésitait pas à faire l’intermédiaire (cf. PV aud. 29, l. 139 s.). On ne saurait donc considérer qu’il aurait pris un risque admissible au sens de la jurisprudence précitée. De toute manière, même si on admettait de déduire les quantités que V.________ a fournies à son épouse, les quantités qu’il a vendues, respectivement échangées à M.________ et […] et les quantités qu’il a reconnu avoir donné à des tiers, entre 10 et 20 grammes (cf. PV aud. 29, l. 133) réalisent déjà le cas grave. C’est donc à juste titre que le Tribunal correctionnel a constaté qu’il s’était rendu coupable d’infraction grave à la LStup.</w:t>
      </w:r>
    </w:p>
    <w:p>
      <w:r>
        <w:t>- 22 - 4. L’appelant conteste la peine qui lui a été infligée, qu’il considère disproportionnée. Il soutient notamment qu’il aurait dû être condamné pour infraction simple à la LStup et qu’il aurait dû être exempté de peine pour l’infraction de violence ou menace contre les autorités ou les fonctionnaires, dès lors qu’il aurait subi des blessures plus graves que les policiers et qu’il aurait déjà suffisamment été puni par les moyens de contrainte – qu’il estime excessifs – utilisés par la police contre lui. 4.1 4.1.1 L’art. 47 CP (Code pénal du 21 décembre 1937;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t>- 23 - 4.1.2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ATF 120 IV 334 consid. 2a), à partir de laquelle le cas doit être considéré comme grave au sens de l'art. 19 al. 2 let. a LStup (ATF 121 IV 193 consid. 2b/aa; TF 6B_780/2018 précité; TF 6B_107/2013 du 15 mai 2013 consid. 2.1). Le type de drogue et sa pureté doivent aussi être pris en considération (ATF 122 IV 299 consid. 2c;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6B_780/2018 précité; TF 6B_807/2017 du 30 janvier 2018 consid. 2.1; TF 6B_189/2017 du 7 décembre 2017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ATF 118 IV 342 consid. 2d). 4.1.3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w:t>
      </w:r>
    </w:p>
    <w:p>
      <w:r>
        <w:t>- 24 -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4.1.4 Selon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au sens de l'art. 42 CP, le juge doit se livrer à une appréciation d'ensemble, tenant compte des circonstances de l'infraction, des antécédents de</w:t>
      </w:r>
    </w:p>
    <w:p>
      <w:r>
        <w:t>- 25 -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ATF 133 IV 201 consid. 2.3; TF 6B_658/2017 du 30 janvier 2018 consid. 1.2). 4.1.5 Selon l’art. 54 CP, si l’auteur a été directement atteint par les conséquences de son acte au point qu’une peine serait inappropriée, l’autorité compétente renonce à le poursuivre, à le renvoyer devant le juge ou à lui infliger une peine.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concret et il dispose d’un large pouvoir d’appréciation, de sorte que sa décision ne sera annulée que s’il en a abusé (ATF 137 IV 105, JdT IV 378; TF 6B_111/2009 du 16 juillet 2009 consid. 3.2 et les références citées). L’art. 54 CP, qui s’applique dans des situations exceptionnelles, exige que les conséquences de l’acte pour son auteur aient été importantes. Le critère déterminant est qu’au vu de la culpabilité de l‘auteur et des conséquences directes de son acte, la sanction pénale apparaisse à ce point inadéquate que le simple sentiment de justice impose de renoncer à toute peine. La mort d’un proche, compagnon de vie durant de longues années, est l’exemple type d’un cas d’application possible de cette disposition. Les conséquences de l’acte sont celles</w:t>
      </w:r>
    </w:p>
    <w:p>
      <w:r>
        <w:t>- 26 - qu’endure l’auteur de l’acte lui-même et non les effets de l’acte sur son entourage (ATF 137 IV 105 précité). 4.2 En l’espèce, comme on l’a vu ci-avant, V.________ a gravement enfreint la loi fédérale sur les stupéfiants, de sorte que la peine minimale qui doit lui être infligée est une peine privative de liberté d’un an. S’agissant de l’infraction de violence ou menaces contre les autorités et les fonctionnaires et des lésions corporelles simples infligées aux policiers lors de l’interpellation du 23 août 2017, l’appelant a reconnu, à l’audience d’appel, qu’il n’avait en réalité pas fait l’objet de violences policières gratuites et que la police avait fait son travail (cf. supra, p. 3). Même s’il maintient une version différente des policiers sur les circonstances de ce contrôle, il n’en demeure pas moins qu’il a admis aux débats qu’il voulait se soustraire à celui-ci et que sa version ne peut pas être retenue pour les motifs évoqués dans le jugement, soit les déclarations des agents de police, qui concordent avec celles des employés de la W.________, ainsi que les images de la vidéosurveillance. Sa réaction a ainsi été totalement excessive et inacceptable, lui seul étant responsable des blessures qui lui ont été infligées fortuitement par les policiers, qui ont dû se mettre à trois pour le maîtriser et qui ont dû user de divers moyens de contrainte physique. V.________ ne peut pas non plus se prévaloir d’avoir été sous l’effet de stupéfiants au moment de son interpellation, pour les motifs énumérés en page 35 du jugement, et contre lesquels il n’élève aucun grief. Il n’y a ainsi aucune place pour appliquer l’art. 54 CP. Les infractions aux art. 123 et 285 CP doivent être réprimées par une peine privative de liberté également, en raison de la violence gratuite dont le prévenu a fait preuve et pour des motifs de prévention spéciale, les peines pécuniaires prononcées antérieurement ne l’ayant pas incité à ne plus commettre d’infractions pénales. La peine privative de liberté de quinze mois prononcée par les premiers juges est ainsi adéquate et doit être confirmée, compte tenu des effets du concours avec</w:t>
      </w:r>
    </w:p>
    <w:p>
      <w:r>
        <w:t>- 27 - l’infraction de base, dont la quotité peut être arrêtée au minimum légal d’un an. L’appelant requiert, subsidiairement, que la peine soit assortie du sursis. Toutefois, ce dernier a des antécédents et les renseignements à son sujet sont mauvais, en raison des violences conjugales faites à son épouse, telles qu'elles ressortent du dossier et qui sont admises, de son oisiveté depuis 2015, ainsi que de la reprise de sa consommation de stupéfiants après sa sortie de prison début 2018. Ce n’est que trop récemment que le prévenu a entamé un sevrage (trois mois avant l’audience d’appel) pour qu’on puisse en tirer des conclusions. Au demeurant, toujours depuis sa sortie de prison, soit il y a près d’un an, le prévenu n’a pas jugé utile de chercher un travail et attend simplement que l’ORP veuille bien le reprendre. Le pronostic est donc défavorable et une peine ferme se justifie. 5. La peine étant confirmée, la demande d’indemnisation des jours de détention subis dans des conditions illicites en argent plutôt qu’en déduction de jours de détention sur la peine est sans objet. 6. L’appelant conteste son expulsion, dans la seule mesure où il a conclu à sa libération du chef de prévention d’infraction grave à la LStup. 6.1 Aux termes de l'art. 66a al. 1 let. o CP, le juge expulse de Suisse l'étranger qui est condamné pour infraction à l’art. 19 al. 2 LStup.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- 28 - Ainsi, l'art. 66a CP prévoit l'expulsion «obligatoire» de l'étranger condamné pour l'une des infractions ou combinaison d'infractions listées à l'al. 1, quelle que soit la quotité de la peine prononcée à son encontre. L'expulsion est donc en principe indépendante de la gravité des faits retenus (ATF 144 IV 332 consid. 3.1.3;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RS 101]) et par le droit international, en particulier l'art. 8 CEDH (Convention de sauvegarde des droits de l’homme et des libertés fondamentales du 4 novembre 1950; RS 0.101; TF 6B_143/2019 précité, consid. 3.3.1; TF 6B_724/2018 du 30 octobre 2018 consid. 2.3.2;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du 24 octobre 2007 relative à l'admission, au séjour et à l'exercice d'une activité lucrative; RS 142.201) et de la jurisprudence y relative dans le cadre de l'application de l'art. 66a al. 2 CP (ATF 144 IV 332 consid. 3.3.2; TF 6B_627/2018 précité, consid. 1.3.5; TF 6B_143/2019 précité, consid. 3.3.1).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w:t>
      </w:r>
    </w:p>
    <w:p>
      <w:r>
        <w:t>- 29 -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TF 6B_143/2019 précité, consid. 3.3.1; TF 6B_627/2018 précité consid. 1.3.5). 6.2 En l’espèce, le comportement délictueux de l’appelant tombe sous le coup de l’art. 66a al. 1 let. o CP compte tenu de la confirmation de sa condamnation pour infraction à l’art. 19 al. 2 LStup, si bien qu’il se trouve bien dans un cas d’expulsion obligatoire. Si tant est qu’il faille examiner cette question d’office, l’intéressé n’ayant pas plaidé ce point, on relèvera que le renvoi de V.________ dans son pays d’origine ne constituerait – de loin – pas un cas de rigueur. En effet, celui-ci est désocialisé professionnellement et vit aux crochets des services sociaux depuis des années. Il n’a de contacts qu’avec un de ses deux frères vivant en Suisse, alors que tout le reste de sa famille, dont son père et deux de ses frères et sœurs vivent en Tunisie, pays dans lequel il a fait ses études et a vécu les 20 première années de sa vie. En Suisse, sa relation avec son épouse est fluctuante, faite de violences et de séparations. A supposer cette relation durable, elle pourra, le cas échéant, se poursuivre en Tunisie. S.________ a d’ailleurs déclaré qu’elle connaissait bien le pays et s’entendait bien avec la famille du prévenu. Elle l'a en outre accompagné lors de son séjour de trois mois cette année. La famille de l'appelant dispose de surcroît de nombreux biens immobiliers et terrains en Tunisie et s’est montrée jusqu’ici disposée à entretenir l’intéressé. C’est aussi le pays que V.________ a choisi pour aller se soigner de sa dépendance à la méthamphétamine et, apparemment, il a pu s'y sevrer et y être suivi. C’est dire que V.________ sera au moins aussi bien loti dans son pays d’origine. Son expulsion ne consacre en aucune manière un cas de rigueur.</w:t>
      </w:r>
    </w:p>
    <w:p>
      <w:r>
        <w:t>- 30 - 7. L’appelant réclame, enfin, la restitution des montants séquestrés en invoquant l’art. 268 al. 3 CPP. 7.1 L’art. 263 al. 1 let. b CPP permet à l’autorité pénale de mettre sous séquestre des objets et des valeurs patrimoniales appartenant au prévenu ou à des tiers, lorsqu’il est probable qu’ils seront utilisés pour garantir le paiement des frais de procédure, des peines pécuniaires, des amendes et des indemnités. Le séquestre à fin de garantie ou en couverture des frais au sens de cette disposition a pour but d’assurer à l’Etat le paiement notamment des frais de procédure (art. 422 CPP), des peines pécuniaires (art. 34 ss CP), des amendes (art. 106 CP) et des autres indemnités (art. 429 ss CPP) que la procédure pénale a pu faire naître à la charge du prévenu (Moreillon/Parein- Reymond, Petit commentaire, Code de procédure pénale, 2e éd. Bâle 2016, n. 13 ad art. 263 CPP). Dans un tel cas, le séquestre peut être ordonné sur tous les biens du prévenu, y compris sur ceux qui n’ont aucun rapport avec l’infraction (Lembo/Julen Berthod, in : Kuhn/Jeanneret [éd.], CR CPP, n. 14 ad art. 263 CPP). Réglementé plus précisément à l’art. 268 CPP, la loi impose en cas de séquestre en couverture des frais de tenir compte du revenu et de la fortune du prévenu et d’exclure les valeurs insaisissables au sens de la loi sur la poursuite pour dettes et faillites (art. 268 al. 2 et 3 CPP; ATF 141 IV 360). Cet examen se justifie au regard du principe de proportionnalité et découle du respect du minimum vital garanti par le droit fondamental à des conditions minimales d’existence (ATF 141 IV 360 consid. 3.1). 7.2 En l’espèce, outre qu’il perçoit le revenu d’insertion, il ressort de l’état de fait que le prévenu est régulièrement soutenu financièrement par son frère et son père et qu’il a même hérité de plusieurs milliers de francs de sa mère, de sorte que la confiscation et la dévolution à l’Etat en paiement des frais de justice de quelque mille francs ne porte pas atteinte à son minimum vital.</w:t>
      </w:r>
    </w:p>
    <w:p>
      <w:r>
        <w:t>- 31 - 8. Au vu de ce qui précède, l’appel interjeté par V.________ doit être rejeté et le jugement du 7 mai 2019 confirmé. Le défenseur d’office de V.________ a produit une liste d’opérations dont il n’y a pas lieu de s’écarter, si ce n’est pour y ajouter le temps consacré à l’audience d’appel. C’est ainsi une indemnité de 1'810 fr., correspondant à 8,5 heures au tarif horaire de 180 fr., à 2% de débours forfaitaires (art. 19 al. 2 TDC [Tarif des dépens en matière civile du 23 novembre 2010; BLV 270.11.6], applicable par renvoi de l’art. 26a al. 6 TFIP [Tarif des frais de procédure et indemnités en matière pénale du 28 septembre 2010; BLV 312.03.1]) par 30 fr. 60, à 120 fr. de vacation et à 129 fr. 40 de TVA qui doit être allouée à Me Kathrin Gruber pour la procédure d’appel. Vu l’issue de la cause, les frais de la procédure d’appel, par 4’820 fr., composés des émoluments de jugement et d’audience (art. 21 al. 1 et 2 TFIP), par 3’010 fr., ainsi que de l'indemnité allouée au défenseur d’office de l'appelant, par 1'810 fr., seront mis à la charge de l'appelant, qui succombe (art. 428 al. 1 CPP). L'appelant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