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PE17.016001 vom 16. Februar 2018</w:t>
      </w:r>
    </w:p>
    <w:p>
      <w:r>
        <w:t>VD Tribunal cantonal, 2018-02-16, FR</w:t>
      </w:r>
    </w:p>
    <w:p>
      <w:r>
        <w:rPr>
          <w:b/>
        </w:rPr>
        <w:t xml:space="preserve">Quelle: </w:t>
      </w:r>
      <w:r>
        <w:t>https://mcp.opencaselaw.ch/entscheid/vd_gerichte_PE17.016001</w:t>
      </w:r>
    </w:p>
    <w:p>
      <w:r>
        <w:t>FR: VD_GERICHTE PE17.016001 du 16 février 2018</w:t>
      </w:r>
    </w:p>
    <w:p>
      <w:r>
        <w:t>IT: VD_GERICHTE PE17.016001 del 16 febbraio 2018</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S.__________ à l’encontre de la Procureure [...] (art. 13 LVCPP [loi vaudoise d’introduction du code de procédure pénale suisse du 19 mai 2009; RSV 312.01]).</w:t>
      </w:r>
    </w:p>
    <w:p>
      <w:r>
        <w:t>- 3 -</w:t>
      </w:r>
    </w:p>
    <w:p>
      <w:r>
        <w:rPr>
          <w:b/>
        </w:rPr>
        <w:t>E. 2.1</w:t>
      </w:r>
    </w:p>
    <w:p>
      <w:r>
        <w:t>Un magistrat est récusable pour l'un des motifs prévus aux art. 56 let. a à e CPP. Il l'est également,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A cet égard, une appréciation spécifique est nécessaire dans chaque situation particulière (Moreillon et Parein-Reymond, Petit commentaire, Code de procédure pénale, 2ème éd., Bâle 2016, nn. 23 ss ad rem. prél. aux art. 56 à 60 CPP et les arrêts cités). Seules les circonstances constatées objectivement doivent être prises en considération. Les impressions purement individuelles d'une des parties au procès ne sont pas décisives (ATF 141 IV 178 consid. 3.2.1 pp. 179 ss; ATF 138 IV 142 consid. 2.1 pp. 144 s. et les arrêts cités; ATF 134 I 20 consid. 4.2; TF 1B_13/2015 du 1er mai 2015 consid. 3.1).</w:t>
      </w:r>
    </w:p>
    <w:p>
      <w:r>
        <w:rPr>
          <w:b/>
        </w:rPr>
        <w:t>E. 2.2</w:t>
      </w:r>
    </w:p>
    <w:p>
      <w:r>
        <w:t>En l’occurrence, la Procureure a demandé à la partie plaignante, lors de l’audition du prévenu pour dénonciation calomnieuse, si elle avait effectivement fait l’objet d’une procédure pénale concernant</w:t>
      </w:r>
    </w:p>
    <w:p>
      <w:r>
        <w:t>- 4 - les faits qu’elle alléguait de faux. La partie plaignante, qui a refusé de répondre, y voit un motif de récusation. Pour la Cour de céans, on ne saurait déduire du comportement de la Procureure une quelconque apparence de partialité. Certes, le procédé de la magistrate n’était pas conforme à l’art. 147 al. 1 CPP : si les parties ont le droit d’assister à l’administration des preuves et de poser des questions aux comparants, il n’est pas admissible que la partie plaignante, dans une audition du prévenu, soit questionnée sans avoir été dûment citée à une audition comme plaignante, notamment en bénéficiant des informations de l’art. 143 al. 1 CPP, d’autant plus si l’on devait comprendre de la question un éventuel changement de position (cf. Moreillon et Parein-Reymond, op. cit., n. 7 ad art. 143 CPP; Thormann, in : Kuhn/Jeanneret [éd.], Commentaire romand, Code de procédure pénal suisse, Bâle 2011, n. 33 ad 143 CPP). Il ne s’agit toutefois pas de faits graves et répétés justifiant une récusation. Ainsi, en l'absence de circonstances objectives qui feraient redouter une activité partiale de la Procureure [...], aucun motif de récusation au sens de l'art. 56 CPP n'est réalisé en l'espèce.</w:t>
      </w:r>
    </w:p>
    <w:p>
      <w:r>
        <w:rPr>
          <w:b/>
        </w:rPr>
        <w:t>E. 3</w:t>
      </w:r>
    </w:p>
    <w:p>
      <w:r>
        <w:t>En définitive, la demande de récusation formée le 7 décembre 2017 par S.__________ doit être rejetée. Les frais de la présente procédure, constitués du seul émolument de décision (art. 422 al. 1 CPP), par 440 fr. (art. 20 al. 1 TFIP [tarif des frais de procédure et indemnités en matière pénale du 28 septembre 2010; RSV 312.03.1]), seront mis à la charge de la requérante, conformément à l'art. 59 al. 4 CPP. Par ces motifs, la Chambre des recours pénale prononce :</w:t>
      </w:r>
    </w:p>
    <w:p>
      <w:r>
        <w:t>- 5 - I. La demande de récusation formée le 7 décembre 2017 par S.__________ à l’encontre de la Procureure [...] est rejetée. II. Les frais de la décision, par 440 fr. (quatre cent quarante francs), sont mis à la charge de S.__________. III. La décision est exécutoire. Le président : Le greffier : Du Le présent arrêt, dont la rédaction a été approuvée à huis clos, est notifié, par l'envoi d'une copie complète, à : - S.__________, - Ministère public central, et communiquée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