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PE17.015607 vom 29. November 2017</w:t>
      </w:r>
    </w:p>
    <w:p>
      <w:r>
        <w:t>VD Tribunal cantonal, 2017-11-29, FR</w:t>
      </w:r>
    </w:p>
    <w:p>
      <w:r>
        <w:rPr>
          <w:b/>
        </w:rPr>
        <w:t xml:space="preserve">Quelle: </w:t>
      </w:r>
      <w:r>
        <w:t>https://mcp.opencaselaw.ch/entscheid/vd_gerichte_PE17.015607</w:t>
      </w:r>
    </w:p>
    <w:p>
      <w:r>
        <w:t>FR: VD_GERICHTE PE17.015607 du 29 novembre 2017</w:t>
      </w:r>
    </w:p>
    <w:p>
      <w:r>
        <w:t>IT: VD_GERICHTE PE17.015607 del 29 novembre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H.________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t>- 4 -</w:t>
      </w:r>
    </w:p>
    <w:p>
      <w:r>
        <w:rPr>
          <w:b/>
        </w:rPr>
        <w:t>E. 3.2</w:t>
      </w:r>
    </w:p>
    <w:p>
      <w:r>
        <w:t>En l’espèce, le recourant a reconnu la quasi-intégralité des faits qui lui sont reprochés (cf. notamment PV aud. d’arrestation du 4 novembre 2017). Il a d’ailleurs été interpellé le 10 juin 2017 en possession de nombreux objets de provenance suspecte. Il existe donc une présomption suffisamment sérieuse de culpabilité à l’encontre de H.________, ce que ce dernier ne conteste pas.</w:t>
      </w:r>
    </w:p>
    <w:p>
      <w:r>
        <w:rPr>
          <w:b/>
        </w:rPr>
        <w:t>E. 4.1</w:t>
      </w:r>
    </w:p>
    <w:p>
      <w:r>
        <w:t>Le recourant conteste l’existence d’un risque de fuite (art. 221 al. 1 let. a CPP).</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C’est avant tout le risque de fuite à l’étranger qui est visé par l’art. 221 al. 1 let. a CPP. Même s’il est évident qu’il est également possible de se soustraire à une procédure pénale ou à l’exécution d’une peine prononcée en restant à l’intérieur du pays (Moreillon/Parein-Reymond, Petit commentaire du Code de procédure pénale, Bâle 2016, n. 15 ad art. 221 CPP et la référence citée).</w:t>
      </w:r>
    </w:p>
    <w:p>
      <w:r>
        <w:rPr>
          <w:b/>
        </w:rPr>
        <w:t>E. 4.3</w:t>
      </w:r>
    </w:p>
    <w:p>
      <w:r>
        <w:t>En l’espèce, le recourant est de nationalité suisse et a vécu toute sa vie dans notre pays. Il est en outre sans aucune attache avec un pays étranger. Un risque de fuite ne peut dès lors être retenu du seul fait qu’il n’a pas de domicile fixe et que les autorités peinent à le localiser. Comme le relève le recourant, l’absence de domicile fixe est une difficulté</w:t>
      </w:r>
    </w:p>
    <w:p>
      <w:r>
        <w:t>- 5 - administrative et non un motif au sens de l’art. 221 al. 1 let. a CPP qui permettrait de retenir un risque de fuite, aucun élément au dossier ne permettant au surplus de dire que, par sa situation personnelle, le recourant tenterait de se soustraire à la procédure pénale. Partant, c’est à tort que le Tribunal des mesures de contrainte a retenu un tel risque.</w:t>
      </w:r>
    </w:p>
    <w:p>
      <w:r>
        <w:rPr>
          <w:b/>
        </w:rPr>
        <w:t>E. 5.1</w:t>
      </w:r>
    </w:p>
    <w:p>
      <w:r>
        <w:t>Le recourant conteste l’existence d’un risque de récidive. Il relève qu’il a été entendu le 12 août 2017 sans que le Procureur qui instruit l’affaire ne demande sa détention provisoire et que, depuis lors, seul l’achat d’une arme de poing de type soft air peut lui être reproché, ce qui ne justifierait pas un risque de réitération.</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w:t>
      </w:r>
    </w:p>
    <w:p>
      <w:r>
        <w:t>- 6 -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5.3</w:t>
      </w:r>
    </w:p>
    <w:p>
      <w:r>
        <w:t>En l’espèce et comme l’a retenu à juste titre le Tribunal des mesures de contrainte, le recourant a multiplié les infractions, notamment contre le patrimoine, ces derniers mois. Malgré une enquête ouverte à son encontre, il a été contrôlé, le 25 septembre 2017, en possession d’une arme de poing de type soft air. Il a par ailleurs fait l’objet d’un signalement en vue de son arrestation le 5 octobre 2017. Il ne faut en outre pas perdre de vue que le recourant est dans une situation précaire. Il est en effet sans emploi et ne bénéficie d’aucune aide financière quelconque. Comme on l’a vu, il est également sans domicile fixe. Un risque de réitération est dès lors concret.</w:t>
      </w:r>
    </w:p>
    <w:p>
      <w:r>
        <w:rPr>
          <w:b/>
        </w:rPr>
        <w:t>E. 5.4.1</w:t>
      </w:r>
    </w:p>
    <w:p>
      <w:r>
        <w:t>Le risque de récidive réalisé en l’espèce ne suffit toutefois pas à justifier la mise en détention provisoire du prévenu s’il s’avère que, sous</w:t>
      </w:r>
    </w:p>
    <w:p>
      <w:r>
        <w:t>- 7 - l’angle de la proportionnalité (art. 212 al. 2 let. c CPP), des mesures de substitution sont propres à pallier un tel risque. L’art. 237 al. 1 CPP dispose en effet que le tribunal compétent ordonne une ou plusieurs mesures moins sévères en lieu et place de la détention provisoire ou de la détention pour des motifs de sûreté si ces mesures permettent d'atteindre le même but que la détention. Parmi ces mesures, l’art. 237 al. 2 CPP – qui dresse une liste exemplative et non exhaustive des mesures possibles (Moreillon/Parein-Reymond, op. cit., n.</w:t>
      </w:r>
    </w:p>
    <w:p>
      <w:r>
        <w:rPr>
          <w:b/>
        </w:rPr>
        <w:t>E. 5.4.2</w:t>
      </w:r>
    </w:p>
    <w:p>
      <w:r>
        <w:t>En l’espèce, la mesure proposée par le recourant, à savoir l’obligation de se présenter chaque semaine à un poste de police, permettra de le localiser plus aisément et évitera ainsi de devoir émettre un nouveau signalement RIPOL à son encontre. Au vu de sa situation difficile et de son jeune âge, le recourant devra également démontrer chaque semaine au Ministère public, par la production de documents, toutes les démarches qu’il aura entamées auprès des services sociaux aux fins de se faire loger et de trouver une activité professionnelle. Ces mesures paraissent à ce stade suffisamment efficaces pour parer à tout risque de réitération. Le recourant est d’ailleurs rendu attentif au fait que le Tribunal des mesures de contrainte pourra en tout temps révoquer ces mesures si des faits nouveaux l’exigent ou s’il ne respecte pas les obligations qui lui ont été imposées (art. 237 al. 5 CPP). Conformément à la jurisprudence, ces mesures de substitution doivent être prononcées pour une durée déterminée qui, au vu de l’ensemble des circonstances – en particulier le fait que le recourant se voit imposer des mesures manifestement moins lourdes que la détention et qu’il a d’ailleurs lui-même proposées – sera arrêtée à six mois ce qui correspond au maximum prévu par la loi (art. 227 al. 7 CPP ; ATF 141 IV 190 consid. 3.3), étant précisé que le recourant pourra en tout temps saisir l'autorité d'une demande de révocation ou de modification des</w:t>
      </w:r>
    </w:p>
    <w:p>
      <w:r>
        <w:t>- 8 - mesures de substitution (art. 237 al. 5 et art. 228 CPP, par renvoi de l'art. 237 al. 4 CPP). 6. En définitive, le recours doit être partiellement admis et l’ordonnance attaquée réformée dans le sens du considérant qui précède. Les frais de la procédure de recours, constitués en l’espèce de l'émolument d'arrêt (art. 422 al. 1 CPP), par 880 fr. (art. 20 al. 1 TFIP [Tarif des frais de procédure et indemnités en matière pénale du 28 septembre 2010; RSV 312.03.1]), et des frais imputables à la défense d'office de H.________ (art. 422 al. 1 et 2 let. a CPP), fixés à 540 fr., plus la TVA par 43 fr. 20, soit à 583 fr. 20 au total, seront laissés à la charge de l’Etat (art. 423 al. 1 CPP). Par ces motifs, la Chambre des recours pénale prononce : I. Le recours est partiellement admis. II. La détention provisoire de H.________ est levée avec effet immédiat, pour autant qu’il ne soit pas détenu pour une autre cause, moyennant le respect des mesures de substitution énoncées aux chiffres III et IV ci-après, lesquelles sont ordonnées pour une durée de six mois. III. Obligation pour H.________ de se présenter chaque semaine à un poste de police, à déterminer par le Procureur en charge du dossier. IV. Obligation pour H.________ de démontrer chaque semaine au Procureur en charge du dossier, par la production d’une copie des documents, les démarches entreprises auprès des services sociaux pour obtenir un logement et une activité.</w:t>
      </w:r>
    </w:p>
    <w:p>
      <w:r>
        <w:t>- 9 - V. L'indemnité allouée au défenseur d'office de H.________ est fixée à 583 fr. 20 (cinq cent huitante-trois francs et vingt centimes). VI. Les frais du présent arrêt, par 880 fr. (huit cent huitante francs), ainsi que l'indemnité due au défenseur d'office de H.________ selon le chiffre V ci-dessus, sont laissés à la charge de l’Etat. VII. L’arrêt est exécutoire. Le président : La greffière : Du Le présent arrêt, dont la rédaction a été approuvée à huis clos, est notifié, par l'envoi d'une copie complète, à : - Me Séverine Berger, avocate (pour H.________),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- 10 -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9</w:t>
      </w:r>
    </w:p>
    <w:p>
      <w:r>
        <w:t>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12</w:t>
      </w:r>
    </w:p>
    <w:p>
      <w:r>
        <w:t>ad art. 237 CPP) – mentionne notamment l’obligation de se présenter régulièrement à un service administratif (let.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