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PE17.014942 vom 18. Oktober 2017</w:t>
      </w:r>
    </w:p>
    <w:p>
      <w:r>
        <w:t>VD Tribunal cantonal, 2017-10-18, FR</w:t>
      </w:r>
    </w:p>
    <w:p>
      <w:r>
        <w:rPr>
          <w:b/>
        </w:rPr>
        <w:t xml:space="preserve">Quelle: </w:t>
      </w:r>
      <w:r>
        <w:t>https://mcp.opencaselaw.ch/entscheid/vd_gerichte_PE17.014942</w:t>
      </w:r>
    </w:p>
    <w:p>
      <w:r>
        <w:t>FR: VD_GERICHTE PE17.014942 du 18 octobre 2017</w:t>
      </w:r>
    </w:p>
    <w:p>
      <w:r>
        <w:t>IT: VD_GERICHTE PE17.014942 del 18 ottobre 2017</w:t>
      </w:r>
    </w:p>
    <w:p>
      <w:pPr>
        <w:pStyle w:val="Heading2"/>
      </w:pPr>
      <w:r>
        <w:t>Erwägungen</w:t>
      </w:r>
    </w:p>
    <w:p>
      <w:r>
        <w:rPr>
          <w:b/>
        </w:rPr>
        <w:t>E. 13</w:t>
      </w:r>
    </w:p>
    <w:p>
      <w:r>
        <w:t>mars 2014 que les recourants n’avaient pas respectée, occupant ainsi les locaux loués de façon illicite, et en représentant les intérêts de L.________, respectivement de ses héritiers, devant la Commission de conciliation. Il s’ensuit que les éléments constitutifs d’une gestion déloyale ne sont manifestement pas réunis en l’espèce. 6. Les recourants prétendent que le courrier de G.________ du 2 juin 2016 et la procuration du 3 juin 2016 signée en sa faveur constitueraient des faux. 6.1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protège, en tant que biens juridiques, d’une part la confiance particulière qui est placée dans un titre ayant la valeur probante dans les rapports juridiques et, d’autre part, la loyauté dans les relations commerciales (ATF 129 IV 53 consid. 3.2, JdT 2006 IV 7; Dupuis et al., op. cit., Bâle 2017,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w:t>
      </w:r>
    </w:p>
    <w:p>
      <w:r>
        <w:t>- 22 -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 6.2 En l’espèce, on relèvera d’abord que le courrier du 2 juin 2016 (P. 4/6), dans lequel G.________ a écrit « je suis consulté par L.________ p.a. F.________ à Lausanne », ne revêt pas la qualité de titre au sens de la jurisprudence précitée, s’agissant d’un simple courrier. Quoi qu’il en soit, si sa formulation pouvait laisser entendre que L.________ était encore en vie, ce n’est pas cet élément qui devait emporter la conviction du lecteur, mais bien le fait que G.________ représentait les intérêts de cette dernière. Or, ainsi qu’on l’a vu ci-avant, ce dernier élément, seul à avoir une portée juridique, était véridique (cf. supra consid. 4.3.1). Quant à la procuration datée du 3 juin 2016 (P. 4/15), elle prévoit que F.________ (…) déclare donner procuration avec pouvoir de substitution à G.________ (…) et y élire domicile, aux fins de représenter et d’agir en son nom, contre A.C.________ et B.C.________ (…) ». Ce document, manifestement signé par un représentant de la régie immobilière F.________, ne fait aucunement mention de L.________ et ne donne ainsi pas faussement l’impression que cette dernière aurait elle-même donné un quelconque pouvoir à G.________. Pour le surplus, il a déjà été dit que F.________ avait le pouvoir de mandater un agent d’affaires breveté au nom et pour le compte de L.________ en vertu de la relation contractuelle conclue avec cette dernière le 11 avril 2012 (cf. supra consid. 4.3.1). Ces deux documents ne constituent donc manifestement pas des faux au sens de l’art. 251 CP. 7. En définitive, les infractions d’escroquerie, d’atteinte astucieuse aux intérêts pécuniaires d’autrui, de gestion déloyale, de tentative de contrainte et de fausse déclaration d’une partie en justice ne</w:t>
      </w:r>
    </w:p>
    <w:p>
      <w:r>
        <w:t>- 23 - sont manifestement pas réalisées. C’est donc à bon droit et sans arbitraire (art. 9 Cst.) que le Ministère public a refusé d’entrer en matière, conformément à l’art. 310 CPP. Il n’y a, pour le surplus, pas à examiner l’opportunité de cette décision, les faits étant clairs et leur appréciation juridique ne donnant pas matière à pareil examen. 8. Au vu de ce qui précède, le recours, manifestement mal fondé, doit être rejeté, sans autre échange d’écritures (art. 390 al. 2 CPP), dans la mesure où il est recevable (cf. supra consid. 1.3), et l’ordonnance du 14 août 2017 confirmée. Les frais de la procédure de recours, constitués en l’espèce du seul émolument d’arrêt, par 2’200 fr., (art. 20 al. 1 TFIP [tarif des frais de procédure et indemnités en matière pénale du 29 septembre 2010; RSV 312.03.1), seront mis à la charge des recourants, à part égale et solidairement entre eux, qui succombent (art. 428 al. 1 CPP). Vu le sort de la cause, les recourants n’ont pas droit à une indemnité au sens de l’art. 436 CPP. Par ces motifs, la Chambre des recours pénale prononce : I. Le recours est rejeté dans la mesure où il est recevable. II. L’ordonnance du 14 août 2017 est confirmée. III. Les frais d’arrêt, par 2’200 fr. (deux mille deux cents francs), sont mis à la charge des recourants, à part égale et solidairement entre eux.</w:t>
      </w:r>
    </w:p>
    <w:p>
      <w:r>
        <w:t>- 24 - IV. L’arrêt est exécutoire. Le président : Le greffier : Du Le présent arrêt, dont la rédaction a été approuvée à huis clos, est notifié, par l'envoi d'une copie complète, à : - Me Tony Donnet-Monay, avocat (pour A.C.________),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