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PE17.014232 vom 25. Oktober 2017</w:t>
      </w:r>
    </w:p>
    <w:p>
      <w:r>
        <w:t>VD Tribunal cantonal, 2017-10-25, FR</w:t>
      </w:r>
    </w:p>
    <w:p>
      <w:r>
        <w:rPr>
          <w:b/>
        </w:rPr>
        <w:t xml:space="preserve">Quelle: </w:t>
      </w:r>
      <w:r>
        <w:t>https://mcp.opencaselaw.ch/entscheid/vd_gerichte_PE17.014232</w:t>
      </w:r>
    </w:p>
    <w:p>
      <w:r>
        <w:t>FR: VD_GERICHTE PE17.014232 du 25 octobre 2017</w:t>
      </w:r>
    </w:p>
    <w:p>
      <w:r>
        <w:t>IT: VD_GERICHTE PE17.014232 del 25 ottobre 2017</w:t>
      </w:r>
    </w:p>
    <w:p>
      <w:pPr>
        <w:pStyle w:val="Heading2"/>
      </w:pPr>
      <w:r>
        <w:t>Erwägungen</w:t>
      </w:r>
    </w:p>
    <w:p>
      <w:r>
        <w:rPr>
          <w:b/>
        </w:rPr>
        <w:t>E. 1.1</w:t>
      </w:r>
    </w:p>
    <w:p>
      <w:r>
        <w:t>Les parties peuvent attaquer une ordonnance de non-entrée en matière rendue par le Ministère public (art. 310 CPP) dans les dix jours</w:t>
      </w:r>
    </w:p>
    <w:p>
      <w:r>
        <w:t>- 3 - devant l’autorité de recours (art. 310 al. 2, 322 al. 2 CPP; cf. art. 20 al. 1 let. b CPP) qui, dans le canton de Vaud, est la Chambre des recours pénale du Tribunal cantonal (art. 13 LVCPP; art. 80 LOJV [loi d’organisation judiciaire, RSV 173.01]).</w:t>
      </w:r>
    </w:p>
    <w:p>
      <w:r>
        <w:rPr>
          <w:b/>
        </w:rPr>
        <w:t>E. 1.2</w:t>
      </w:r>
    </w:p>
    <w:p>
      <w:r>
        <w:t>Interjeté dans le délai légal auprès de l’autorité compétente par la partie plaignante qui a qualité pour recourir (art. 382 al. 1 CPP), et dans les formes prescrites (art. 385 al. 1 CPP), le recours est recevable.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w:t>
      </w:r>
    </w:p>
    <w:p>
      <w:r>
        <w:t>- 4 - il apparaît d’emblée qu’aucun acte d’enquête ne pourra apporter la preuve d’une infraction à la charge d’une personne déterminée (cf. TF 1B_67/2012 du 29 mai 2012 consid. 3.2).</w:t>
      </w:r>
    </w:p>
    <w:p>
      <w:r>
        <w:rPr>
          <w:b/>
        </w:rPr>
        <w:t>E. 2.2.1</w:t>
      </w:r>
    </w:p>
    <w:p>
      <w:r>
        <w:t>Aux termes de l’art. 125 CP (Code pénal; RS 311.0), celui qui, par négligence, aura fait subir à une personne une atteinte à l’intégrité corporelle ou à la santé sera, sur plainte, puni d’une peine privative de liberté de trois ans au plus ou d’une peine pécuniaire (al. 1).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ATF 134 IV 255 consid. 4.2.3; ATF 129 IV 119 consid. 2.1).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 médecin est tenu d'observer les règles de l'art médical, soit les principes établis par la science médicale, généralement reconnus et admis, communément suivis et appliqués par les praticiens (ATF 133 III 121 consid. 3.1). Il n'a pas à répondre des dangers ou des risques qui sont inhérents à tout acte médical et à toute maladie. Il viole en revanche ses devoirs lorsqu'il pose un diagnostic, choisit une thérapie ou définit une approche thérapeutique qui, selon l'état général des connaissances professionnelles, n'apparaît plus défendable et ne satisfait ainsi pas aux exigences objectives de l'art médical. En ce qui concerne plus particulièrement le diagnostic, le médecin n'est pas tenu d'en garantir l'exactitude. Il faut dès lors faire la distinction entre une véritable faute de diagnostic et un simple diagnostic</w:t>
      </w:r>
    </w:p>
    <w:p>
      <w:r>
        <w:t>- 5 - erroné. Pour constater et apprécier une atteinte à la santé, le médecin doit procéder dans chaque cas de manière adéquate et utiliser les moyens et les sources d'information nécessaires. Il doit clarifier les symptômes ambigus en utilisant les moyens à sa disposition (CREP</w:t>
      </w:r>
    </w:p>
    <w:p>
      <w:r>
        <w:rPr>
          <w:b/>
        </w:rPr>
        <w:t>E. 2.2.2</w:t>
      </w:r>
    </w:p>
    <w:p>
      <w:r>
        <w:t>L’infraction de lésions corporelles par négligence constitue une infraction de résultat, qui suppose en général une action, mais qui, conformément à l'art. 11 al. 1 CP, peut aussi être réalisée par le fait d'un comportement passif contraire à une obligation d'agir.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 132 s.; TF 6B_661/2015 du 17 mai 2016 consid. 2.1; TF 6B_844/2011 du 18 juin 2012 consid. 3.1.1). Lorsque l'auteur a omis de faire un acte qu'il était juridiquement tenu d'accomplir, il faut encore se demander si cette omission peut lui être imputée à faute (ATF 133 IV 158 consid. 5.1; ATF 113 IV 68 consid. 5; TF 6B_661/2015 du 17 mai 2016 consid. 2.1).</w:t>
      </w:r>
    </w:p>
    <w:p>
      <w:r>
        <w:rPr>
          <w:b/>
        </w:rPr>
        <w:t>E. 2.2.3</w:t>
      </w:r>
    </w:p>
    <w:p>
      <w:r>
        <w:t>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w:t>
      </w:r>
    </w:p>
    <w:p>
      <w:r>
        <w:t>- 6 - lorsque l'acte attendu n'aurait vraisemblablement pas empêché la survenance du résultat ou lorsqu'il est simplement possible qu'il l'eût empêché (TF 6B_1165/2015 du 20 avril 2016 consid. 2.2.1 et les références citées).</w:t>
      </w:r>
    </w:p>
    <w:p>
      <w:r>
        <w:rPr>
          <w:b/>
        </w:rPr>
        <w:t>E. 2.3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ATF 113 IV 29 consid. 1;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6B_615/2011 du 20 janvier 2012 consid. 3.1). Il faut admettre que l'auteur nuit à autrui dès qu'il utilise des moyens excessifs, même s'il poursuit un but légitime. Le motif pour lequel l'auteur agit est ainsi sans pertinence sur l'intention, mais a trait à l'examen de la culpabilité (TF 6B_923/2015 du 24 mai 2016 consid. 2.2).</w:t>
      </w:r>
    </w:p>
    <w:p>
      <w:r>
        <w:rPr>
          <w:b/>
        </w:rPr>
        <w:t>E. 2.4</w:t>
      </w:r>
    </w:p>
    <w:p>
      <w:r>
        <w:t>En l’espèce, le recourant expose lui-même, dans sa plainte du 19 juillet 2017 (P. 4, pp. 5 ss), que le jour de sa chute sur le sol gelé de la prison, après qu’il a rejoint sa cellule, il a montré sa main enflée à un agent, qui a alerté l’infirmerie, où il a été conduit et examiné par le médecin de permanence, qui lui a prescrit de de la pommade et du paracétamol. Il ressort en outre du dossier que le Service pénitentiaire a payé plusieurs consultations postérieurement à l’accident (P. 13/1/3) et que l’intéressé, qui s’était plaint du fait que la douleur n’avait pas disparue, a passé une radiographie et consulté le Dr [...] (Chef</w:t>
      </w:r>
    </w:p>
    <w:p>
      <w:r>
        <w:t>- 7 - de la Policlinique médicale universitaire du [...]), qui lui a prescrit le port d’une attelle de poignet à visée antalgique (P. 9/4). Partant, on ne voit pas en quoi le personnel pénitentiaire aurait fait preuve de négligence, le recourant ayant manifestement eu accès à un suivi médical adéquat en relation avec son accident. Quant aux médecins consultés, rien ne permet d’admettre qu’ils auraient posé un diagnostic, choisi une thérapie ou défini une approche thérapeutique de manière contraire aux règles de l’art médical. A cet égard, on rappellera qu’une simple erreur de diagnostic, si elle devait être retenue – ce qui paraît douteux dans le cas d’espèce, s’agissant d’une simple lésion au poignet ayant de surcroît fait l’objet d’un examen radiographique –, ne relève pas du droit pénal, le médecin n’étant pas tenu de garantir l’exactitude d’un diagnostic (cf. supra consid. 2.2.1). Par ailleurs, le recourant ne prétend pas que sa blessure aurait été causée par le personnel pénitentiaire ou par le corps médical et il n’apparaît pas que cette lésion se serait péjorée, à tout le moins en raison d’un comportement passif contraire à une obligation d'agir et imputable à une faute de ces intervenants. Ainsi, si le traitement mis en œuvre n’a pas eu les effets escomptés par le recourant, force est de constater que lesdits intervenants n’en sont en tous les cas pas pénalement responsables. Sous l’angle de la causalité, on ne voit du reste pas quel acte prétendument omis aurait permis une évolution plus favorable de la situation de l’intéressé, étant précisé que le dossier ne fait pas état de la pose d’un plâtre, ni de rendez-vous au [...] qui auraient été prescrits, contrairement à ce qu’il allègue. S’agissant, d’un éventuel abus de pouvoir, on ne décèle dans les plaintes du recourant aucun indice de décision ou de contrainte illicite à son encontre, ni encore moins de dessein de lui nuire de la part de l’administration pénitentiaire. En définitive, force est donc de constater que tant les plaintes que les nombreux écrits que D.________ adresse aux autorités ont pour but</w:t>
      </w:r>
    </w:p>
    <w:p>
      <w:r>
        <w:t>- 8 - essentiel de se plaindre de ses conditions de détention, qu’il estime être mauvaises. Il n’apporte toutefois aucun élément propre à rendre vraisemblable qu’il aurait subi des traitements inappropriés ou contraires aux droits humains comme il le prétend. Les éléments au dossier tendent en outre à démontrer l’inverse. C’est donc à juste titre que le Ministère public a refusé d’entrer en matière sur les plaintes précitées, les éléments constitutifs d’infractions pénales faisant manifestement défaut en l’espèce. 3. Au vu de ce qui précède, le recours, manifestement mal fondé, doit être rejeté sans autre échange d’écritures (art. 390 al. 2 CPP) et l’ordonnance du 10 août 2017 confirmée. Les frais de la procédure de recours, constitués en l’espèce du seul émolument d’arrêt, par 770 fr., (art. 20 al. 1 TFIP [tarif des frais de procédure et indemnités en matière pénale du 29 septembre 2010; RSV 312.03.1), seront mis à la charge du recourant, qui succombe (art. 428 al. 1 CPP). Par ces motifs, la Chambre des recours pénale prononce : I. Le recours est rejeté. II. L’ordonnance du 10 août 2017 est confirmée. III. Les frais d’arrêt, par 770 fr. (sept cent septante francs), sont mis à la charge du recourant. IV. L’arrêt est exécutoire. Le président : Le greffier :</w:t>
      </w:r>
    </w:p>
    <w:p>
      <w:r>
        <w:t>- 9 - Du Le présent arrêt, dont la rédaction a été approuvée à huis clos, est notifié, par l'envoi d'une copie complète, à : - M. D.________, détenu à la Prison de Stampa (TI),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septembre 2017/600 consid. 2.2.1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