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PE17.014152 vom 16. August 2017</w:t>
      </w:r>
    </w:p>
    <w:p>
      <w:r>
        <w:t>VD Tribunal cantonal, 2017-08-16, FR</w:t>
      </w:r>
    </w:p>
    <w:p>
      <w:r>
        <w:rPr>
          <w:b/>
        </w:rPr>
        <w:t xml:space="preserve">Quelle: </w:t>
      </w:r>
      <w:r>
        <w:t>https://mcp.opencaselaw.ch/entscheid/vd_gerichte_PE17.014152</w:t>
      </w:r>
    </w:p>
    <w:p>
      <w:r>
        <w:t>FR: VD_GERICHTE PE17.014152 du 16 août 2017</w:t>
      </w:r>
    </w:p>
    <w:p>
      <w:r>
        <w:t>IT: VD_GERICHTE PE17.014152 del 16 agosto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W.________ est recevable</w:t>
      </w:r>
    </w:p>
    <w:p>
      <w:r>
        <w:rPr>
          <w:b/>
        </w:rPr>
        <w:t>E. 2</w:t>
      </w:r>
    </w:p>
    <w:p>
      <w:r>
        <w:t>Selon l’art. 221 al. 1 CPP, la détention provisoire et la détention pour des motifs de sûreté ne peuvent être ordonnées que lorsque le prévenu est fortement soupçonné d’avoir commis un crime ou</w:t>
      </w:r>
    </w:p>
    <w:p>
      <w:r>
        <w:t>- 3 -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2.1</w:t>
      </w:r>
    </w:p>
    <w:p>
      <w:r>
        <w:t>En l’espèce, le recourant ne remet pas en cause, à juste titre, l’existence de soupçons suffisants de culpabilité à son encontre. A toutes fins utiles, on relèvera qu’il a pour l’essentiel admis les faits et qu’il était en possession des livres sterling qui se trouvaient dans l’un des porte- monnaie dérobés lors de son interpellation.</w:t>
      </w:r>
    </w:p>
    <w:p>
      <w:r>
        <w:rPr>
          <w:b/>
        </w:rPr>
        <w:t>E. 2.2</w:t>
      </w:r>
    </w:p>
    <w:p>
      <w:r>
        <w:t>Le recourant parait contester l’existence d’un risque de réitération, en soutenant, semble-t-il, qu’il serait un délinquant primaire.</w:t>
      </w:r>
    </w:p>
    <w:p>
      <w:r>
        <w:rPr>
          <w:b/>
        </w:rPr>
        <w:t>E. 2.2.1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w:t>
      </w:r>
    </w:p>
    <w:p>
      <w:r>
        <w:t>- 4 -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w:t>
      </w:r>
    </w:p>
    <w:p>
      <w:r>
        <w:rPr>
          <w:b/>
        </w:rPr>
        <w:t>E. 2.2.2</w:t>
      </w:r>
    </w:p>
    <w:p>
      <w:r>
        <w:t>En l’espèce, comme l’a relevé le Tribunal des mesures de contrainte, W.________ a commis les faits qui lui sont reprochés quelques jours à peine après s’être vu notifier, en mains propres, une ordonnance pénale le condamnant pour vol, recel et séjour illégal notamment, soit des crimes et un délit de même nature, à une peine privative de liberté de trois mois (cf. ordonnance pénale rendue le 3 août 2017 par le Ministère public de l’arrondissement de La Côte). Par ailleurs, il avait, dans le cadre de cette précédente affaire, déjà subi deux jours de détention provisoire, ce qui n’a manifestement eu aucun effet sur lui, dès lors qu’il a rapidement récidivé. De surcroît, le recourant a expliqué ses agissements par le fait qu’il n’avait pas d’argent et qu’il dormait dehors, situation qu’il retrouverait inévitablement en cas de libération. Au vu de ce qui précède, le risque de réitération est concret, de sorte que la détention provisoire de W.________ se justifie pour ce motif.</w:t>
      </w:r>
    </w:p>
    <w:p>
      <w:r>
        <w:rPr>
          <w:b/>
        </w:rPr>
        <w:t>E. 2.3</w:t>
      </w:r>
    </w:p>
    <w:p>
      <w:r>
        <w:t>Le Tribunal des mesures de contrainte a également retenu que W.________ présentait un risque de fuite.</w:t>
      </w:r>
    </w:p>
    <w:p>
      <w:r>
        <w:rPr>
          <w:b/>
        </w:rPr>
        <w:t>E. 2.3.1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w:t>
      </w:r>
    </w:p>
    <w:p>
      <w:r>
        <w:t>- 6 - la détention, même si elle permet souvent de présumer un danger de fuite en raison de l'importance de la peine dont le prévenu est menacé (ATF 125 I 60 consid. 3a ; ATF 117 Ia 69 consid. 4a).</w:t>
      </w:r>
    </w:p>
    <w:p>
      <w:r>
        <w:rPr>
          <w:b/>
        </w:rPr>
        <w:t>E. 2.3.2</w:t>
      </w:r>
    </w:p>
    <w:p>
      <w:r>
        <w:t>En l’espèce, le recourant est un ressortissant égyptien en situation irrégulière en Suisse, pays avec lequel il n’a en outre aucune attache. Par ailleurs, il n’a ni adresse, ni ressources. Ainsi, le risque qu’il disparaisse dans la clandestinité et qu’il se soustraie à l’action pénale en cas de libération est manifeste. Partant, W.________ présente à l’évidence un risque de fuite, si bien que sa détention provisoire se justifie également pour ce motif.</w:t>
      </w:r>
    </w:p>
    <w:p>
      <w:r>
        <w:rPr>
          <w:b/>
        </w:rPr>
        <w:t>E. 2.4</w:t>
      </w:r>
    </w:p>
    <w:p>
      <w:r>
        <w:t>Pour le surplus, aucune mesure de substitution n’est propre à prévenir les risques constatés (art. 237 CPP). Le recourant n’en propose du reste aucune à l’appui de son recours.</w:t>
      </w:r>
    </w:p>
    <w:p>
      <w:r>
        <w:rPr>
          <w:b/>
        </w:rPr>
        <w:t>E. 2.5</w:t>
      </w:r>
    </w:p>
    <w:p>
      <w:r>
        <w:t>Le recourant semble soutenir qu’une détention provisoire d’un mois serait disproportionnée au regard des faits qui lui sont reprochés.</w:t>
      </w:r>
    </w:p>
    <w:p>
      <w:r>
        <w:rPr>
          <w:b/>
        </w:rPr>
        <w:t>E. 2.5.1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w:t>
      </w:r>
    </w:p>
    <w:p>
      <w:r>
        <w:rPr>
          <w:b/>
        </w:rPr>
        <w:t>E. 2.5.2</w:t>
      </w:r>
    </w:p>
    <w:p>
      <w:r>
        <w:t>En l’espèce, il est reproché au recourant de s’être introduit dans le domicile d’un tiers et d’y avoir dérobé deux porte-monnaie contenant des valeurs. Par ailleurs, W.________ est en situation irrégulière en Suisse. Le concours d’infractions devra être pris en compte. Par</w:t>
      </w:r>
    </w:p>
    <w:p>
      <w:r>
        <w:t>- 7 - ailleurs, le recourant vient d’être condamné à une peine privative de liberté de trois mois pour des faits similaires, de sorte que cet antécédent devra également être pris en considération dans le cadre de la fixation de la peine à laquelle il s’expose. Au vu de ce qui précède, W.________ s’expose au prononcé d’une peine à l’évidence supérieure à la période de détention provisoire d’un mois ordonnée par le Tribunal des mesures de contrainte. Partant, le principe de la proportionnalité est respecté.</w:t>
      </w:r>
    </w:p>
    <w:p>
      <w:r>
        <w:rPr>
          <w:b/>
        </w:rPr>
        <w:t>E. 2.7</w:t>
      </w:r>
    </w:p>
    <w:p>
      <w:r>
        <w:t>;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w:t>
      </w:r>
    </w:p>
    <w:p>
      <w:r>
        <w:t>- 5 -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3</w:t>
      </w:r>
    </w:p>
    <w:p>
      <w:r>
        <w:t>En définitive, le recours, manifestement mal fondé, doit être rejeté sans autre échanges d’écritures (art. 390 al. 2 CPP) et l’ordonnance du 8 août 2017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8 août 2017 est confirmée. III. Les frais d’arrêt, par 770 fr. (sept cent septante francs), sont mis à la charge de W.________. IV. L’arrêt est exécutoire. Le président : Le greffier :</w:t>
      </w:r>
    </w:p>
    <w:p>
      <w:r>
        <w:t>- 8 - Du Le présent arrêt, dont la rédaction a été approuvée à huis clos, est notifié, par l'envoi d'une copie complète, à : - Me David Minder, avocat (pour W.________), - Ministère public central, et communiqué à : - Mme la Présidente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