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PE17.013721 vom 3. April 2019</w:t>
      </w:r>
    </w:p>
    <w:p>
      <w:r>
        <w:t>VD Tribunal cantonal, 2019-04-03, FR</w:t>
      </w:r>
    </w:p>
    <w:p>
      <w:r>
        <w:rPr>
          <w:b/>
        </w:rPr>
        <w:t xml:space="preserve">Quelle: </w:t>
      </w:r>
      <w:r>
        <w:t>https://mcp.opencaselaw.ch/entscheid/vd_gerichte_PE17.013721</w:t>
      </w:r>
    </w:p>
    <w:p>
      <w:r>
        <w:t>FR: VD_GERICHTE PE17.013721 du 3 avril 2019</w:t>
      </w:r>
    </w:p>
    <w:p>
      <w:r>
        <w:t>IT: VD_GERICHTE PE17.013721 del 3 aprile 2019</w:t>
      </w:r>
    </w:p>
    <w:p>
      <w:pPr>
        <w:pStyle w:val="Heading2"/>
      </w:pPr>
      <w:r>
        <w:t>Erwägungen</w:t>
      </w:r>
    </w:p>
    <w:p>
      <w:r>
        <w:rPr>
          <w:b/>
        </w:rPr>
        <w:t>E. 1.1</w:t>
      </w:r>
    </w:p>
    <w:p>
      <w:r>
        <w:t>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6 décembre 2017/844 ; CREP 9 février 2016/93 ; CREP 13 avril 2015/244). Ce recours s’exerce auprès de l’autorité de recours (cf. art. 20 al. 1 let. b CPP) qui est, dans le canton de Vaud, la Chambre des recours pénale du Tribunal cantonal (art. 13 LVCPP [loi d'introduction du Code de procédure pénale suisse du 19 mai 2009 ; BLV 312.01] ; art. 80 LOJV [loi</w:t>
      </w:r>
    </w:p>
    <w:p>
      <w:r>
        <w:t>- 4 - d'organisation judiciaire du 12 décembre 1979 ; BLV 173.01]). Le recours doit être adressé par écrit, dans un délai de dix jours dès la notification de la décision attaquée (cf. art. 384 let. b CPP), à l’autorité de recours (art. 396 al. 1 CPP).</w:t>
      </w:r>
    </w:p>
    <w:p>
      <w:r>
        <w:rPr>
          <w:b/>
        </w:rPr>
        <w:t>E. 1.2</w:t>
      </w:r>
    </w:p>
    <w:p>
      <w:r>
        <w:t>En l’espèce, interjeté en temps utile devant l’autorité compétente par la prévenue qui a qualité pour recourir (art. 382 al. 1 CPP) et satisfaisant aux exigences de forme (art. 385 al. 1 CPP), le recours, bien qu’intitulé à tort appel, est recevable.</w:t>
      </w:r>
    </w:p>
    <w:p>
      <w:r>
        <w:rPr>
          <w:b/>
        </w:rPr>
        <w:t>E. 2.1</w:t>
      </w:r>
    </w:p>
    <w:p>
      <w:r>
        <w:t>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L’ordonnance pénale n’est compatible avec la garantie constitutionnelle de l’accès au juge (art. 29a Cst. [Constitution fédérale de la Confédération suisse du 18 avril 1999 ; RS 101]), respectivement avec le droit à ce qu’une cause soit entendue par un tribunal jouissant d’un plein pouvoir d’examen (art. 6 ch. 1 CEDH [Convention du 4 novembre 1950 de sauvegarde des droits de l’homme et des libertés fondamentales ; RS 0.101]), que parce qu’il dépend en dernier lieu de la volonté de la personne concernée de l’accepter ou de faire usage, par le biais de l’opposition, de son droit à un examen par un tribunal.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w:t>
      </w:r>
    </w:p>
    <w:p>
      <w:r>
        <w:t>- 5 - prévenu soit conscient des conséquences de son manquement et qu’il renonce à ses droits en toute connaissance de la situation juridique déterminante (cf. ATF 142 IV 158 consid. 3.1 et les réf. cit., JdT 2017 IV 46 ; ATF 140 IV 82 consid. 2.3, JdT 2014 IV 301 ; TF 6B_152/2013 du 27 mai 2013 consid. 4.5, in : Pra 2013 n. 99 pp. 763 ss).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 cit.). L’autorité saisie par l’opposition est responsable du respect des principes régissant la procédure, dans le cadre de la continuation de la procédure, de sorte que l’opposant puisse et doive pouvoir compter de bonne foi sur une procédure conforme aux exigences d’un Etat de droit. Seul le prévenu dument informé peut valablement renoncer à la protection judiciaire garantie par l’art. 29a Cst. en lien avec l’art. 30 Cst. (cf. ATF 142 IV 158 consid. 3.4 et les réf. cit., JdT 2017 IV 46 ; ATF 140 IV 82 consid. 2.6, JdT 2014 IV 301). Demeurent réservés les cas d’abus de droit (cf. ATF 142 IV 158 consid. 3.4 et les réf. cit., JdT 2017 IV 46 ; ATF 140 IV 82 consid. 2.7, JdT 2014 IV 301). Cette jurisprudence développée en lien avec l’art. 355 al. 2 CPP s’applique dans la même mesure à l’art. 356 al. 4 CPP, s’agissant des normes correspondantes (cf. ATF 142 IV 158 consid. 3.5 et les réf. cit., JdT 2017 IV 46 ; TF 6B_397/2015 du 26 novembre 2015 consid. 1.2).</w:t>
      </w:r>
    </w:p>
    <w:p>
      <w:r>
        <w:rPr>
          <w:b/>
        </w:rPr>
        <w:t>E. 2.2</w:t>
      </w:r>
    </w:p>
    <w:p>
      <w:r>
        <w:t>En l’espèce, la prévenue ne conteste pas avoir reçu la citation à comparaître du 22 juin 2018, celle-ci lui ayant été distribuée en mains propres au Tribunal d’arrondissement de La Côte le 10 août 2018 à 15h15. Elle a ainsi pris connaissance des conséquences d’un éventuel défaut, le</w:t>
      </w:r>
    </w:p>
    <w:p>
      <w:r>
        <w:t>- 6 - document qui lui a été remis précisant que si elle ne se présentait pas, son opposition serait réputée retirée et l’ordonnance déclarée exécutoire. L.________ ne s’est pas présentée à la date et à l’heure prévues, soit le 13 novembre 2018 à 09h00, considérant à tort que l’audience avait lieu le 19 novembre 2018. Dans son courrier non daté parvenu au tribunal le 19 novembre 2018, elle a expliqué avoir beaucoup de soucis avec sa mère âgée de 87 ans, d’une part, ainsi que « de nombreuses démarches administratives entre la Suisse et la France » sur le plan privé et professionnel, d’autre part. Toutefois, le fait que L.________ se soit, par inadvertance, trompée de date ne saurait constituer une excuse valable au sens de l’art. 356 al. 4 CPP. En outre, son défenseur, présent lors de l’audience du 13 novembre 2018, a déclaré ne pas avoir de nouvelles de sa cliente et ne pas la représenter. L’opposante ne s’est pas non plus excusée immédiatement. Il s’ensuit que la prévenue doit être considérée comme ayant retiré son opposition, selon la fiction consacrée par l’art. 356 al. 4 CPP, du simple fait de son défaut inexcusé aux débats de l’audience du 13 novembre 2018 du Tribunal de police de l’arrondissement de La Côte, à laquelle elle avait valablement été citée à comparaître.</w:t>
      </w:r>
    </w:p>
    <w:p>
      <w:r>
        <w:rPr>
          <w:b/>
        </w:rPr>
        <w:t>E. 3</w:t>
      </w:r>
    </w:p>
    <w:p>
      <w:r>
        <w:t>En définitive, le recours, manifestement mal fondé, doit être rejeté sans échange d’écritures (art. 390 al. 2 CPP), et le prononcé du 13 novembre 2018 confirmé. Les frais de la procédure de recours, constitués en l’espèce de l’émolument d'arrêt, par 660 fr. (art. 20 al. 1 [Tarif des frais de procédure et indemnités en matière pénale du 28 septembre 2010 ; BLV 312.03.1]), seront mis à la charge de la recourante, qui succombe (art. 428 al. 1 CPP).</w:t>
      </w:r>
    </w:p>
    <w:p>
      <w:r>
        <w:t>- 7 - Par ces motifs, la Chambre des recours pénale prononce : I. Le recours est rejeté. II. Le prononcé du 13 novembre 2018 est confirmé. III. Les frais de la procédure de recours, par 660 fr. (six cent soixante francs), sont mis à la charge de L.________. IV. L’arrêt est exécutoire. Le président : Le greffier : Du Le présent arrêt, dont la rédaction a été approuvée à huis clos, est notifié, par l'envoi d'une copie complète, à : - L.________, - Ministère public central, et communiqué à : - Mme la Présidente du Tribunal de police de l’arrondissement de La Côte, - Mme la Procureure de l’arrondissement de La Côte,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