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PE17.013685 vom 2. Oktober 2018</w:t>
      </w:r>
    </w:p>
    <w:p>
      <w:r>
        <w:t>VD Tribunal cantonal, 2018-10-02, FR</w:t>
      </w:r>
    </w:p>
    <w:p>
      <w:r>
        <w:rPr>
          <w:b/>
        </w:rPr>
        <w:t xml:space="preserve">Quelle: </w:t>
      </w:r>
      <w:r>
        <w:t>https://mcp.opencaselaw.ch/entscheid/vd_gerichte_PE17.013685</w:t>
      </w:r>
    </w:p>
    <w:p>
      <w:r>
        <w:t>FR: VD_GERICHTE PE17.013685 du 2 octobre 2018</w:t>
      </w:r>
    </w:p>
    <w:p>
      <w:r>
        <w:t>IT: VD_GERICHTE PE17.013685 del 2 ottobre 2018</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RSV 312.01]; art. 80 LOJV [loi d'organisation judiciaire du 12 septembre 1979; RSV 173.01]). Interjeté par une partie ayant qualité pour recourir et satisfaisant aux conditions de forme posées par l'art. 385 al. 1 CPP, le recours est recevable.</w:t>
      </w:r>
    </w:p>
    <w:p>
      <w:r>
        <w:rPr>
          <w:b/>
        </w:rPr>
        <w:t>E. 2</w:t>
      </w:r>
    </w:p>
    <w:p>
      <w:r>
        <w:t>La recourante invoque une violation du principe de célérité. Elle reproche au Ministère public de ne pas avoir imposé au CURML de déposer son rapport dans un délai raisonnable, alors que l'affaire ne serait pas complexe et engendrerait beaucoup d'inquiétude pour elle.</w:t>
      </w:r>
    </w:p>
    <w:p>
      <w:r>
        <w:t>- 5 -</w:t>
      </w:r>
    </w:p>
    <w:p>
      <w:r>
        <w:rPr>
          <w:b/>
        </w:rPr>
        <w:t>E. 2.1</w:t>
      </w:r>
    </w:p>
    <w:p>
      <w:r>
        <w:t>En vertu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ATF 130 I 312 consid. 5.2; ATF 124 I 139 consid. 2c). L’intéressé qui se plaint d’un retard injustifié doit entreprendre ce qui est en son pouvoir pour que l'autorité fasse diligence. Un défaut de réponse du magistrat à une requête ne fonde pas automatiquement le grief de déni de justice (JdT 2012 III 27 et les réf. citées; CREP 1er mars 2013/112; CREP 15 janvier 2013/12).</w:t>
      </w:r>
    </w:p>
    <w:p>
      <w:r>
        <w:t>- 6 -</w:t>
      </w:r>
    </w:p>
    <w:p>
      <w:r>
        <w:rPr>
          <w:b/>
        </w:rPr>
        <w:t>E. 2.2</w:t>
      </w:r>
    </w:p>
    <w:p>
      <w:r>
        <w:t>En l'espèce, à la lecture du procès-verbal des opérations réalisées par le Ministère public, on ne relève aucun temps mort dans le suivi de l'affaire. Le CURML a certes tardé à rendre son rapport mais la procureure l'a relancé à plusieurs reprises, à savoir en avril puis en août 2018. Elle a en outre régulièrement procédé à d'autres opérations d'instruction dans l'intervalle. Dans ces circonstances, on ne décèle aucun déni de justice ou retard injustifié dans l'instruction de la cause.</w:t>
      </w:r>
    </w:p>
    <w:p>
      <w:r>
        <w:rPr>
          <w:b/>
        </w:rPr>
        <w:t>E. 3</w:t>
      </w:r>
    </w:p>
    <w:p>
      <w:r>
        <w:t>Le recours, manifestement mal fondé, doit être rejeté sans autre échange d'écritures (art. 390 al. 2 CPP).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Les frais d'arrêt, par 660 fr. (six cent soixante francs), sont mis à la charge de la recourante. III. L’arrêt est exécutoire. Le président : La greffière : Du Le présent arrêt, dont la rédaction a été approuvée à huis clos, est notifié, par l'envoi d'une copie complète, à : - Me Jean-Marc Reymond, avocat (pour B.________),</w:t>
      </w:r>
    </w:p>
    <w:p>
      <w:r>
        <w:t>- 7 - - M.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