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PE17.013022 vom 17. Dezember 2020</w:t>
      </w:r>
    </w:p>
    <w:p>
      <w:r>
        <w:t>VD Tribunal cantonal, 2020-12-17, FR</w:t>
      </w:r>
    </w:p>
    <w:p>
      <w:r>
        <w:rPr>
          <w:b/>
        </w:rPr>
        <w:t xml:space="preserve">Quelle: </w:t>
      </w:r>
      <w:r>
        <w:t>https://mcp.opencaselaw.ch/entscheid/vd_gerichte_PE17.013022</w:t>
      </w:r>
    </w:p>
    <w:p>
      <w:r>
        <w:t>FR: VD_GERICHTE PE17.013022 du 17 décembre 2020</w:t>
      </w:r>
    </w:p>
    <w:p>
      <w:r>
        <w:t>IT: VD_GERICHTE PE17.013022 del 17 dicembre 2020</w:t>
      </w:r>
    </w:p>
    <w:p>
      <w:pPr>
        <w:pStyle w:val="Heading2"/>
      </w:pPr>
      <w:r>
        <w:t>Erwägungen</w:t>
      </w:r>
    </w:p>
    <w:p>
      <w:r>
        <w:rPr>
          <w:b/>
        </w:rPr>
        <w:t>E. 14</w:t>
      </w:r>
    </w:p>
    <w:p>
      <w:r>
        <w:t>par. 2 Pacte ONU II (Pacte international relatif aux droits civils et politiques du 16 décembre 1966 ; RS 0.103.2), ainsi que son corollaire, le</w:t>
      </w:r>
    </w:p>
    <w:p>
      <w:r>
        <w:t>- 31 -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w:t>
      </w:r>
    </w:p>
    <w:p>
      <w:r>
        <w:t>- 32 - CPP ; Kistler Vianin, op. cit., nn. 19 ss ad art. 398 CPP et les réf. jurisprudentielles citées). 4.2.2 A teneur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Les comportements incriminés par l’art. 187 CP concernent ainsi le fait de commettre un acte d’ordre sexuel sur un mineur de moins de 16 ans, de l’entraîner à commettre un acte d’ordre sexuel ou de le mêler à un tel acte (Zermatten, in CR CP II, op. cit., n. 21 ad art. 187 CP). Le fait de commettre suppose un contact physique entre l’auteur et la victime, son rôle proactif ou passif n’ayant aucune importance, celle-ci bénéficiant d’une protection absolue (ibid., n. 23 ad art. 187 CP).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(TF 6B_123/2020 du 26 novembre 2020 consid. 6.1 ; TF 6B_1122/2018 du 29 janvier 2019 consid. 3.1 ; cf. ATF 146 IV 153 consid. 3.5.2, JdT 2020 IV 299). Par acte d'ordre sexuel, il faut entendre une activité corporelle sur soi-même ou sur autrui qui tend à l'excitation ou à la jouissance sexuelle de l'un des participants au moins (TF 6B_123/2020 du 26 novembre 2020 consid. 6.2 ; TF 6B_1097/2019 du 11 novembre 2019 consid. 2.1 ; TF 6B_1122/2018 du 29 janvier 2019 consid. 3.2).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(ATF 131 IV 100 consid 7.1, JdT 2007 IV 95 ; ATF 131 IV 64 consid. 11.2, JdT 2007 IV 161 ; ATF 125 IV</w:t>
      </w:r>
    </w:p>
    <w:p>
      <w:r>
        <w:t>- 33 - 58 consid. 3b). Les actes clairement connotés sexuellement du point de vue de l'observateur neutre remplissent toujours la condition objective de l'infraction, indépendamment des mobiles de l'auteur ou de la signification que le comportement a pour celui-ci ou pour la victime (ATF 125 IV 58 consid. 3b ; TF 6B_123/2020 du 26 novembre 2020 consid. 6.3 ; TF 6B_1122/2018 du 29 janvier 2019 consid. 3.2). Dans les cas équivoques (ambivalente sexuelle Handlungen), qui n'apparaissent ni neutres ni clairement connotés sexuellement, il faut tenir compte de l'ensemble des circonstances. La jurisprudence privilégie une approche objective qui ne prend pas en compte les mobiles de l'auteur. Il faut que, pour un observateur extérieur, le comportement apparaisse clairement comme un acte à caractère sexuel au vu de l'ensemble des circonstances (ATF 125 IV 58 consid. 3b). Les circonstances dont il faut tenir compte sont notamment l'âge de la victime, sa différence d'âge avec l'auteur, la durée de l'acte et son intensité, ainsi que le lieu choisi par l'auteur (ATF 125 IV 58 consid. 3b ; TF 6B_123/2020 du 26 novembre 2020 consid. 6.3). Il faut se demander si l'acte, qui doit revêtir un caractère sexuel indiscutable, est de nature à perturber l'enfant (TF 6B_123/2020 du 26 novembre 2020 consid. 6.3 ; 6B_1122/2018 du 29 janvier 2019 consid. 3.2). 4.3 4.3.1 L’appelant a toujours contesté avoir commis les faits qui lui sont reprochés, la question étant de savoir si les déclarations de C.________ peuvent être considérées comme suffisamment crédibles pour être retenues et si elles sont corroborées par d’autres éléments de l’enquête. Avant d’examiner concrètement les faits en cause, il y a lieu de constater que l’adolescente a fait des déclarations conformes à la vérité s’agissant des événements en lien avec la caméra laissée par l’appelant dans la salle de bains pour la filmer lorsqu’elle se rendait aux toilettes. Les déclarations de C.________ à ce sujet correspondent très exactement à ce que montrent les images des vidéos prises à son insu. Les déclarations de l’adolescente sont du reste confirmées par l’appelant lui-même, qui ne conteste pas que sa belle-fille est venue lui remettre sa caméra après qu’elle a remarqué sa présence dans la salle de bains (PV</w:t>
      </w:r>
    </w:p>
    <w:p>
      <w:r>
        <w:t>- 34 - aud. 3, R. 6 p. 6 in fine et 7). En revanche, l’appelant a menti aux enquêteurs en prétendant qu’il n’y avait eu qu’une seule vidéo montrant C.________ dans la salle de bains, alors qu’en réalité, l’analyse de sa clé USB a montré qu’il y en avait eu quatre au minimum. Cet épisode est symptomatique, car il permet de constater que l’adolescente n’exagère en rien les faits qu’elle rapporte, s’en tenant strictement à une description purement formelle et limitée des événements, alors que l’appelant, de son côté, n’assume pas son comportement, tentant de le dissimuler aux enquêteurs ou de le relativiser lorsqu’il est confronté aux éléments de preuve à charge. Les intentions poursuivies par l’appelant sont également de nature à accréditer les déclarations de C.________. Dans son audition du 8 juillet 2017, l’appelant a déclaré que la manière dont l’adolescente s’habillait constituait à ses yeux une provocation et a admis qu’il ressentait une attirance sexuelle pour elle (PV aud. 3, R. 14 p. 15). Les vidéos qu’il a réalisées attestent indiscutablement de cette attirance sexuelle. Les prises de vue et les situations choisies ne laissent aucune place au doute à cet égard. L’une des vidéos est particulièrement révélatrice du comportement que l’appelant est en mesure d’adopter à l’encontre de l’adolescente, puisqu’elle témoigne de sa capacité à s’introduire dans la chambre de C.________ durant son sommeil pour filmer les parties intimes du corps de cette dernière, en gros plan, après avoir retiré la couverture qui les dissimulait à son regard. L’audace dont a fait preuve l’appelant à cette occasion en dit long sur l’intensité de ses pulsions vis-à-vis de l’adolescente. Au demeurant, contrairement à ce qu’a soutenu l’appelant durant l’enquête, les vidéos en cause illustrent bien plus le comportement d’un prédateur sexuel plutôt que celui d’un père de famille animé par des intentions éducatives empruntes de bienveillance. Les déclarations de C.________ sont toujours restées très mesurées. On ne discerne aucune exagération dans la description des événements qu’elle a rapportés, ni aucune animosité. L’adolescente a indiqué que sa mère venait d’accoucher et qu’elle se trouvait à l’hôpital au moment des faits, ce qui est exact, la fille des parties étant née le [...] 2016. Compte tenu de ces éléments, il ne fait aucun doute que les déclarations de C.________ en lien avec les événements de la nuit du 7 mai</w:t>
      </w:r>
    </w:p>
    <w:p>
      <w:r>
        <w:t>- 35 - 2016 correspondent à la réalité des faits qui se sont produits et qu’elle a vécus. Les autres éléments recueillis par l’enquête accréditent ses déclarations et ne laissent place à aucun doute raisonnable. Le fait que l’adolescente ait fourni des éléments complémentaires à l’audience de jugement ne saurait remettre en question cette appréciation, étant précisé que les éléments en cause ne contredisent en aucune manière ses déclarations antérieures. A l’instar des premiers juges, la Cour de céans retiendra donc les faits dénoncés sur la base des déclarations de C.________. 4.3.2 S’agissant des gestes accomplis par l’appelant lorsque l’adolescente était dans son lit, C.________ a tout d’abord déclaré, lors de son audition du 20 juillet 2017, que K.________ lui touchait la cuisse lorsqu’elle s’était réveillée (PV aud. 5, p. 3). Lors de son audition aux débats de première instance, elle a indiqué : « Le fait qu’il me touche la cuisse m’a réveillé (sic) », puis « Il a continué à toucher mes cuisses, jusqu’en haut » (jugement, pp. 20-21). C.________ avait 14 ans et demi au moment des faits survenus le 7 mai 2016. On sait, sur la base d’une vidéo prise par l’appelant, que l’adolescente dort en sous-vêtements, soit sans pyjama, ce qui signifie que les caresses en cause ont été faites à même la peau. La défense, qui fait valoir qu’un tel geste n’atteindrait pas le niveau d’intensité exigé par la jurisprudence pour être considéré comme un acte d’ordre sexuel, fonde son argumentation sur l’ATF 137 IV 72 consid. 3.2, traduit au JdT 2012 IV 230. Cet arrêt, qui concerne des attouchements commis par un patron de brocante sur son apprenti, mentionne notamment ce qui suit au sujet des caresses au niveau des cuisses : « Comme le relève le recourant à bon droit, pour un observateur objectif, les gestes sur la cuisse par-dessus les vêtements ne comportent aucune connotation sexuelle. Il en va ainsi pour autant que le recourant ait touché le lésé au niveau du genou et à condition qu’il ne l’ait pas saisi entre les jambes (cf. arrêt du TF 6B_702/2009 du 8 janvier 2010 c. 5.5) et qu’à cette occasion, il n’ait pas fait de remarques équivoques sur la</w:t>
      </w:r>
    </w:p>
    <w:p>
      <w:r>
        <w:t>- 36 - fermeté de la cuisse du lésé (cf. arrêt du TF 6P.123/2003 du 21 novembre 2003, c. 6.2). Cela n’empêche pas que ces attouchements, compte tenu des gestes qui suivirent, apparaissent dans une autre lumière. Il est possible que ces différents actes se soient produits dans une atmosphère de permanentes tentatives de rapprochement du recourant. Cependant, même si dans un tel cas les différents actes ne doivent pas être considérés de façon isolée, le comportement du recourant en qui concerne la première phase des faits décrits n’atteint pas l’intensité requise pour pouvoir prononcer une condamnation pour désagrément causé par un attouchement d’ordre sexuel ». Les situations ne sont pas comparables. Dans le cas d’espèce, les caresses ont été réalisées à même la peau, alors que l’adolescente se trouvait dans son lit, l’appelant sollicitant explicitement des prestations de nature sexuelle. Le contexte dans lequel les attouchements en cause se sont produits, les propos tenus par l’appelant à cette occasion et le contact de sa main sur la peau de l’adolescente amènent indiscutablement à considérer que les gestes sur la cuisse de C.________ tendaient, de manière parfaitement reconnaissable pour un observateur neutre, à l’excitation sexuelle. La connotation sexuelle n’est pas équivoque et le comportement reproché à l’appelant remplit ainsi les conditions requises par l’art. 187 ch. 1 CP. Sur ce point, le jugement doit dès lors être confirmé. L’état de conscience de C.________ a été altéré par l’appelant qui lui a administré deux comprimés d’une substance inconnue. L’adolescente a été surprise dans son lit pendant son sommeil lorsque ce dernier a entrepris de la caresser. Elle n’a eu d’autre choix que de subir les événements. Tous les éléments constitutifs de la contrainte sexuelle au sens de l’art. 189 al. 1 CP sont ainsi réunis, étant rappelé que les caresses prodiguées sont des actes d’ordre sexuel et que le bien juridique protégé, à savoir la liberté sexuelle, est différent de celui visé à l’art. 187 CP, qui concerne le développement du mineur. Partant, le jugement doit être confirmé sur ce point également.</w:t>
      </w:r>
    </w:p>
    <w:p>
      <w:r>
        <w:t>- 37 - 4.4 L’appelant ne développe pas d’argumentation pour remettre en question le principe d’une indemnisation en tort moral en faveur de C.________, ni sa quotité. Il a uniquement conclu au rejet des conclusions civiles prises par celle-ci en faisant valoir qu’il devait être libéré des chefs d’accusation concernés. Dès lors que les faits sont retenus et qu’il est reconnu coupable des infractions qui y sont liées, la conclusion devient sans objet. 5. 5.1 L’appelant invoque une constatation incomplète et erronée des faits, un abus du pouvoir d’appréciation ainsi qu’une violation des art. 10 CPP et 180 CP en lien avec le cas 8 (cf. point C.2.5 supra) de l’acte d’accusation. L’appelant soutient que la plaignante ne serait pas une victime sans défense et que les lésions constatées dans le rapport médical ne correspondraient pas aux faits qu’elle avait décrits. Il rappelle avoir toujours contesté toute violence ou toute menace à l’égard de son épouse. Il prétend avoir été conscient qu’en cas de séparation et de renvoi d’Y.________ en [...], il n’aurait eu aucune chance d’obtenir la garde de leur fille ([...], née le [...] 2016). L’appelant relève également que les déclarations de la plaignante seraient contradictoires, ce qui montrerait qu’elle chercherait à se positionner en victime pour lui faire endosser toutes les responsabilités. A titre d’exemple, il souligne, en se fondant sur un extrait du site Internet [...], que c’est son épouse qui l’a aidé à importer des produits dopants et qu’elle en a fait le commerce, alors que celle-ci a pour sa part toujours nié toute implication. Il en déduit que la version des faits présentée par Y.________ serait « à prendre avec des pincettes » et qu’il existerait des doutes insurmontables qui devraient conduire à sa libération des chefs d’accusation de lésions corporelles simples qualifiées et de menaces qualifiées. Par ailleurs, l’appelant soutient que ni le fait d’annoncer son intention de divorcer, ni celui de dire à une personne qu’elle sera expulsée du territoire suisse parce qu’elle ne remplit pas (ou plus) les conditions</w:t>
      </w:r>
    </w:p>
    <w:p>
      <w:r>
        <w:t>- 38 - pour l’octroi d’un permis de séjour ne constitueraient des menaces au sens du CP, dès lors que de tels propos ne suggéreraient pas de conséquences contraires au droit. S’agissant du statut de séjour de son épouse, il fait valoir qu’il serait notoire que seules les autorités administratives sont compétentes en la matière et que la plaignante aurait dû savoir qu’il ne pouvait assumer aucune responsabilité à cet égard. Enfin, pour conclure à la libération du chef d’accusation de menaces qualifiées, l’appelant affirme que rien ne permettrait de conclure que la plaignante aurait été effrayée par ses propos, celle-ci l’ayant quitté le 7 juillet 2017, soit le lendemain des faits litigieux. Il relève que son épouse s’était préalablement renseignée auprès du Centre social protestant, qui l’avait rassurée sur le fait que son mari ne pouvait pas décider de son statut de séjour ni de qui exercerait la garde sur l’enfant. 5.2 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les réf. citées). Une menace est qualifiée de grave si elle est objectivement de nature à alarmer ou à effrayer la victime. Il faut donc se demander si une personne raisonnable, dotée d'une résistance psychologique normale, aurait ressenti la menace comme grave (ATF 99 IV 212 consid. 1a ; TF 6B_1314/2018 du 29 janvier 2019 consid. 3.2.1). Il faut en outre que la victime ait été effectivement alarmée ou effrayée. Celle-ci doit craindre que le préjudice annoncé se réalise. Cela implique, d'une part, qu'elle le considère comme possible et, d'autre part, que ce préjudice</w:t>
      </w:r>
    </w:p>
    <w:p>
      <w:r>
        <w:t>- 39 - soit d'une telle gravité qu'il suscite de la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n. 8 ad art. 180 CP). Subjectivement, l'auteur doit avoir l'intention non seulement de proférer des menaces graves, mais aussi d'alarmer ou d'effrayer le destinataire. Le dol éventuel suffit (TF 6B_787/2018 du 1er octobre 2018 consid. 3.1 ; TF 6B_1009/2014 du 2 avril 2015 consid. 3.1). 5.3 En l’occurrence, le motif de la dispute qui a éclaté entre les parties le 6 juillet 2017 importe peu, étant précisé que l’appelant ne la conteste pas, expliquant avoir uniquement cherché à se défendre par rapport aux violences exercées à son encontre par la plaignante (PV aud. 8, lignes 140-145). Le rapport médical produit au dossier (P. 34/1) accrédite les déclarations de la plaignante. Les lésions constatées sont en effet compatibles avec le déroulement des événements qu’elle a rapportés, en particulier la présence d’ecchymoses au niveau du dos et des fesses. Par ailleurs, il ressort des déclarations faites par C.________ aux débats de première instance que l’appelant menaçait régulièrement l’adolescente d’un retour en [...] si celle-ci ne faisait pas ce qu’il lui demandait. C.________ a également confirmé que ce type de menaces concernait aussi sa mère (jugement, p. 22). Les déclarations de l’adolescente corroborent donc la version des faits présentée par la plaignante. Partant, c’est à juste</w:t>
      </w:r>
    </w:p>
    <w:p>
      <w:r>
        <w:t>- 40 - titre que les premiers juges ont retenu les faits litigieux à l’encontre de l’appelant. Les lésions constatées sont bien constitutives de lésions corporelles simples qualifiées, au sens de l’art. 123 ch. 1 et 2 al. 4 CP. S’agissant de l’infraction de menaces, même si le fait de divorcer ne constitue pas en soi un préjudice contraire au droit, les conséquences liées à la perte d’un permis de séjour obtenu sur la base d’un regroupement familial sont suffisamment graves sur l’avenir d’une mère et de ses enfants pour être considérés objectivement comme étant de nature à les effrayer. Du reste, si les propos tenus par l’appelant ne pouvaient porter à conséquence, leur auteur ne se serait pas donné la peine de les répéter régulièrement à chaque contrariété, comme l’a rapporté C.________. Au surplus, la plaignante a déclaré avoir eu peur d’être renvoyée en [...] (PV aud. 2, p. 3), ce que C.________ a confirmé tant pour elle-même que pour sa mère, en tenant les propos suivants : « pour moi, ma maman était dans une cage car K.________ utilisait son pouvoir, le fait qu’il avait un permis de séjour. Elle était emprisonnée dans cette situation, elle devait supporter cela car on n’avait nulle part où aller. Je n’ai pas cherché le soutient (sic) de ma maman dans mon malheur car elle devait gérer un bébé et encore K.________ » (jugement, pp. 22 in fine et 23). Au vu de ces éléments, c’est à juste titre que le tribunal de première instance a retenu l’infraction de menaces qualifiées à l’encontre de l’appelant. Le jugement doit être confirmé sur ce point également. 6. De même, l’appelant conclut à sa libération, au bénéfice du doute, de l’infraction de menaces s’agissant du cas 9 de l’acte d’accusation (cf. point C.2.6 supra), en invoquant pour l’essentiel les mêmes arguments que ceux développés en relation avec le cas 8 (cf. consid. 5.1 supra). Aussi, pour les mêmes motifs que ceux exposés ci-dessus (cf. consid. 5.3 supra), soit en particulier le fait que C.________ ait confirmé que tant sa mère qu’elle-même étaient régulièrement menacées d’être</w:t>
      </w:r>
    </w:p>
    <w:p>
      <w:r>
        <w:t>- 41 - renvoyées en [...] par le prévenu, et que la plaignante a réellement eu peur d’un tel renvoi, il y a lieu de retenir les faits litigieux, lesquels sont constitutifs de menaces qualifiées, au sens de l’art. 180 al. 2 let. a CP. Il convient toutefois d’exclure la date du 6 juillet 2017 de la période considérée, celle-ci étant déjà prise en compte au cas 8 de l’acte d’accusation (cf. point C.2.5 et consid. 5 supra). Il sera dès lors retenu que les faits ont été commis du 1er janvier 2016 au 5 juillet 2017, ainsi que le 7 juillet 2017. Moyennant cette précision, le jugement doit être confirmé. 7. 7.1 L’appelant invoque encore une constatation incomplète et erronée des faits, un abus du pouvoir d’appréciation ainsi qu’une violation de l’art. 10 CPP en lien avec le cas 17 de l’acte d’accusation (cf. point C.2.10 supra). Il fait valoir que les versions présentées par les parties seraient contradictoires et soutient que sa version devrait être privilégiée dès lors qu’il a admis avoir filmé son épouse sans son consentement, cet aveu fondant ainsi sa crédibilité. Pour le reste, il constate qu’aucun élément au dossier ne démontrerait qu’il aurait poussé la plaignante à l’intérieur de l’appartement et qu’il aurait refusé de quitter les lieux malgré les injonctions signifiées par cette dernière. 7.2 Il ressort en l’occurrence de l’extrait du journal des événements de la police que des agents sont intervenus le 11 mai 2019 à 13h25 ensuite d’un appel téléphonique de la plaignante (P. 82). Les éléments rapportés par la police correspondent à la situation qu’Y.________ a décrite dans sa plainte du 24 mai 2019 (P. 79, p. 4). Les explications fournies par la plaignante sont cohérentes et permettent de comprendre logiquement le déroulement des événements ayant justifié son appel à la police. Au contraire, il n’est pas possible d’appréhender les raisons qui ont conduits la plaignante à faire appel à la police sur la base de la version des faits présentée par l’appelant, qui rapporte une simple discussion (P. 79, p. 6 in fine). De même, sachant que la police arrivait, si l’appelant s’était réellement comporté comme il le soutient, on ne comprend pas pourquoi il a quitté les lieux avant l’arrivée des forces de l’ordre. Ces éléments doivent conduire à retenir la version des faits de la plaignante. Les faits</w:t>
      </w:r>
    </w:p>
    <w:p>
      <w:r>
        <w:t>- 42 - dénoncés sont ainsi établis et le jugement doit être confirmé s’agissant de ce cas également, étant relevé que l’appelant a admis avoir filmé la plaignante contre sa volonté à l’aide de son téléphone portable (jugement, p. 11), ce qui est constitutif de violation du domaine secret ou du domaine privé au moyen d’un appareil de prise de vues (art. 179quater CP). 8. 8.1 L’appelant se prévaut enfin d’une constatation incomplète et erronée des faits, d’un abus du pouvoir d’appréciation et d’une violation des art. 42 et 47 CP en lien avec la fixation de la peine et l’octroi du sursis. Il conteste que le fait qu’il soit un bon père pour ses enfants issus d’un précédent mariage soit le seul élément à décharge à prendre en considération, tel que l’ont pourtant considéré les premiers juges. Il relève qu’il y aurait également lieu de tenir compte du fait qu’il n’aurait aucun antécédent en matière d’infractions contre l’intégrité sexuelle et de violences conjugales, qu’il aurait fait preuve d’une bonne coopération à l’enquête, admettant les faits pour lesquels il devait être condamné, ainsi que du fait qu’il exercerait une garde alternée sur ses deux fils et qu’il subviendrait donc à leurs besoins personnels et financiers. Il soutient qu’une peine privative de liberté ferme aurait ainsi des conséquences catastrophiques pour ses enfants mais également pour son avenir professionnel. Il fait encore valoir qu’il aurait présenté ses excuses à sa belle-fille, qu’il aurait débuté une thérapie et que la détention aurait déjà eu des répercussions très négatives sur lui ; ces éléments démontreraient qu’il est en progression, de sorte qu’on ne pourrait pas poser un pronostic défavorable. 8.2 8.2.1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- 43 -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8.2.2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w:t>
      </w:r>
    </w:p>
    <w:p>
      <w:r>
        <w:t>- 44 - 313 consid. 1.2 ; ATF 144 IV 217, JdT 2018 IV 335 ; ATF 142 IV 265 consid. 2.3.2, JdT 2017 IV 129). 8.2.3 D’après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 TF 6B_388/2018 du 13 septembre 2018 consid. 4.1).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Le sursis est la règle dont on ne peut s'écarter qu'en présence d'un pronostic défavorable. Il prime en cas d'incertitude (cf. ATF 135 IV 180 consid. 2.1 et les réf. citées ; TF 6B_422/2019 du 5 juin 2019 consid. 7.1.2). Selon la jurisprudence, les conditions subjectives auxquelles l'art.</w:t>
      </w:r>
    </w:p>
    <w:p>
      <w:r>
        <w:t>- 45 - 42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 citées).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8.3 L’appelant doit être sanctionné pour des lésions corporelles simples qualifiées – pour avoir causé diverses ecchymoses et dermabrasions à son épouse –, infraction passible d’une peine privative de liberté de 3 ans au plus ou d’une peine pécuniaire (art. 123 ch. 1 et 2 al. 4 CP), pour des voies de fait qualifiées – commises à deux reprises, les 9 et 11 mai 2019 –, contravention punissable d’une amende (art. 126 al. 1 et 2 let. b CP), pour violation du domaine secret ou du domaine privé au moyen</w:t>
      </w:r>
    </w:p>
    <w:p>
      <w:r>
        <w:t>- 46 - d’un appareil de prise de vues – pour avoir filmé son épouse lors de leur dispute –, infraction passible d’une peine privative de liberté de 3 ans au plus ou d’une peine pécuniaire (art. 179quater CP), pour des menaces qualifiées – pour avoir menacé son épouse de la faire expulser de Suisse –, infraction également passible d’une peine privative de liberté de 3 ans au plus ou d’une peine pécuniaire (art. 180 al. 1 et 2 let. a CP), pour violation de domicile – pour être entré dans le logement de son épouse sans droit –, infraction punissable d’une peine privative de liberté de 3 ans au plus ou d’une peine pécuniaire (art. 186 CP), pour des actes d’ordre sexuel avec des enfants – pour avoir caressé la cuisse de sa belle-fille C.________ et lui avoir demandé de lui « faire un massage » en désignant son entrejambe –, infraction passible d’une peine pécuniaire de 5 ans au plus ou d’une peine pécuniaire (art. 187 ch. 1 CP), pour contrainte sexuelle – pour avoir fait prendre des comprimés d’une substance inconnue à C.________ et l’avoir ainsi mise hors d’état de résister – infraction passible d’une peine privative de liberté de 10 ans au plus ou d’une peine pécuniaire (art. 189 al. 1 CP), pour pornographie – pour avoir détenu des fichiers de pédopornographie et de zoophilie –, infraction passible d’une peine privative de liberté de 3 ans au plus ou d’une peine pécuniaire (art. 197 al. 5 CP), pour délit contre la LESp (Loi fédérale sur l’encouragement du sport et de l’activité physique du 17 juin 2011 ; RS 415.0), passible d’une peine privative de liberté de 3 ans au plus ou d’une peine pécuniaire (art. 22 al. 1 LESp), pour conduite sans autorisation – à quatre reprises, les 22 juin 2017, 17 avril, 8 et 25 mai 2020 –, passible d’une peine privative de liberté de 3 ans au plus ou d’une peine pécuniaire (art. 95 al. 1 let. b LCR [Loi fédérale sur la circulation routière du 19 décembre 1958 ; RS 741.01]), pour conduite sans assurance responsabilité-civile, passible d’une peine privative de liberté de 3 ans au plus ou d’une peine pécuniaire (art. 96 al. 2 LCR), pour usage abusif de plaques – commis à deux reprises, entre le 31 mars et le 1er avril 2017 la première fois, et le 22 juin 2017 la seconde fois –, punissable d’une peine privative de liberté de 3 ans au plus ou d’une peine pécuniaire (art. 97 al. 1 let. g LCR), et pour contravention à la LStup (Loi fédérale sur les stupéfiants et les substances psychotropes du 3 octobre 1951 ; RS 812.121), contravention passible d’une amende (art. 19a ch. 1 LStup).</w:t>
      </w:r>
    </w:p>
    <w:p>
      <w:r>
        <w:t>- 47 - A l’instar du Tribunal correctionnel, il y a lieu de retenir que la culpabilité de l’appelant est lourde. L’appelant a en effet commis de nombreuses infractions et mis en péril de multiples biens juridiques. Il démontre ainsi son mépris général de la loi. S’agissant des infractions contre l’intégrité sexuelle, il a fait passer ses intérêts égoïstes avant toute autre considération, cherchant la satisfaction de ses pulsions les plus primaires sans tenir compte des autres, même s’il s’agissait d’une mineure. Sa culpabilité à cet égard est particulièrement importante. L’appelant est dénué de scrupules, n’hésitant pas à droguer sa victime pour parvenir à ses fins. De manière générale, il ne respecte pas les décisions administratives et judiciaires prononcées contre lui et les enquêtes ouvertes successivement à son encontre n’ont eu absolument aucun effet dissuasif sur son comportement. Son casier judiciaire illustre à lui seul cette situation et démontre qu’il n’y a pas la moindre remise en question de sa part. Contrairement à l’appelant, on ne distingue guère d’éléments dont il y aurait lieu de tenir compte à décharge, étant relevé que le fait de s’occuper convenablement de certains de ses enfants ne constitue pas une circonstance digne d’une mention particulière dans un jugement le condamnant notamment pour des actes d’ordre sexuel avec des enfants et de la pédopornographie. Les peines pécuniaires prononcées jusqu’à présent à l’endroit de l’appelant étant restées inefficaces, malgré leur caractère ferme, le prononcé d’une peine privative de liberté s’impose pour tous les crimes et délits commis. L’infraction la plus grave est celle de contrainte sexuelle. Au vu des constats qui précèdent, elle mérite d’être sanctionnée par une peine privative de liberté de 9 mois. Par l’effet du concours, elle devrait être augmentée de 6 mois pour la pornographie dure, de 3 mois pour les menaces qualifiées, qui se sont inscrites sur la durée, de 3 mois pour les faits constitutifs d’actes d’ordre sexuel avec des enfants, de 3 mois pour la conduite du scooter sans autorisation, commise à quatre reprises, d’un mois pour chacun des usages abusifs de plaques, d’un mois pour les lésions corporelles simples qualifiées, d’un mois pour l’infraction à la LESp, de 15 jours pour la violation du domaine secret ou privé, de 15 jours pour</w:t>
      </w:r>
    </w:p>
    <w:p>
      <w:r>
        <w:t>- 48 - la violation de domicile et de 15 jours pour la conduite sans assurance- responsabilité civile. La peine d’ensemble hypothétique s’élève ainsi à 29 mois et 15 jours, étant précisé que, si certains faits à sanctionner sont antérieurs aux précédentes condamnations, le concours rétrospectif partiel (cf. art. 49 al. 2 CP) est exclu, le genre de peine n’étant pas identique. L’interdiction de la reformatio in pejus impose d’en rester à la peine privative de liberté de 18 mois infligée par le tribunal de première instance, dont on relèvera qu’elle demeure, malgré l’abandon des faits constitutifs du cas 1 de l’acte d’accusation, très clémente. Compte tenu du fait que jusqu’à présent, l’appelant n’a été condamné qu’à des peines pécuniaires de courte durée et uniquement pour des infractions à la circulation routière, qu’il paraît avoir été durablement affecté par les 57 jours de détention avant jugement subis, l’intéressé ayant décrit son séjour en prison comme un « cauchemar » auprès des experts psychiatres, qui ont posé le diagnostic de « trouble de l’adaptation, réaction dépressive de longue durée » en lien avec l’incarcération (cf. P. 62 p. 11), et qu’il bénéficie sur ses deux premiers enfants d’un droit de visite très élargi, il y a lieu d’admettre qu’il répond aux conditions du sursis. Les nombreux antécédents de l’appelant en matière de LCR, et le fait qu’il ait récidivé de manière spéciale dans ce domaine en cours d’enquête, rendent toutefois le pronostic fortement incertain, de sorte que le sursis ne sera que partiel. La peine privative de liberté de 18 mois sera dès lors suspendue sur la moitié de sa durée, soit 9 mois. Le sursis sera assorti d’un délai d’épreuve maximal de 5 ans (cf. art. 44 al. 1 CP), ce laps de temps paraissant indispensable pour atteindre le but d’amendement durable recherché en exerçant une pression suffisante sur l’appelant, de manière offrir la plus grande probabilité qu’il ne récidivera pas. Enfin, l’appelant ne conteste pas l’amende de 500 fr. prononcée par les juges de première instance pour sanctionner les contraventions commises. Adéquate, au vu notamment de la situation financière du prévenu et de ses dettes, elle doit être confirmée.</w:t>
      </w:r>
    </w:p>
    <w:p>
      <w:r>
        <w:t>- 49 - 8.4 L’appelant conclut à ce que, sur les 15 jours durant lesquels il a été détenu dans des conditions notoirement illicites, 13 soient intégralement déduits de la peine fixée. Il ne développe toutefois aucun moyen en lien avec cette conclusion. Quoi qu’il en soit, la jurisprudence admet que, pour tenir compte de la pénibilité accrue d’une détention dans la zone carcérale du centre de la Blécherette, il y a lieu d’opérer une réduction d’un jour de peine pour deux jours de détention au-delà des premières 48 heures (ATF 140 I 246 consid. 2.4.2 ; ATF 139 IV 41 consid. 3.3 ; CAPE 22 mars 2021/36 consid. 6.2 ; CAPE 28 mars 2019/92 consid. 5.2 et les réf. citées). La réduction opérée par le Tribunal correctionnel est donc correcte et doit être confirmée. II. Appel d’Y.________ 9. 9.1 L’appelant conclut à ce qu’il ne soit pas entré en matière sur l’appel déposé contre lui par la partie plaignante, faisant valoir que la compétence de la Cour d’appel pénale ne serait pas donnée dès lors que la valeur litigieuse, calculée sur la base de la prétention de 5'000 fr. formulée en appel par Y.________, n’atteint pas le montant minimum de 10'000 fr. prévu par l’art. 308 al. 2 CPC (Code de procédure civile du 19 décembre 2008 ; RS 272). Il s’appuie notamment sur un jugement rendu par la Cour de céans le 25 mars 2020, qui laisserait selon lui la question ouverte. 9.2 Aux termes de l'art. 398 CPP, l’appel est recevable contre les jugements des tribunaux de première instance qui ont clos tout ou partie de la procédure (al. 1). Si un appel ne porte que sur les conclusions civiles, la juridiction d’appel n’examine le jugement de première instance que dans la mesure où le droit de procédure civile applicable au for autoriserait l’appel (al. 5).</w:t>
      </w:r>
    </w:p>
    <w:p>
      <w:r>
        <w:t>- 50 - L’art. 308 al. 2 CPC prévoit que l’appel en matière civile n’est recevable, dans les affaires patrimoniales, que si la valeur litigieuse au dernier état des conclusions est de 10’000 fr. au moins. Afin de respecter le droit des parties d’être entendues et le but de l’art. 398 al. 5 CPP, il est admis que l’appel, en tant que voie de droit ordinaire en matière pénale contre un jugement au fond, est ouvert dans les cas où la valeur litigieuse est inférieure à 10'000 fr. avec, cependant, un pouvoir d’examen limité à la violation du droit et à la constatation manifestement inexacte des faits (cf. art. 320 CPC ; CAPE 24 juillet 2018/308 consid. 1.2 ; CAPE 11 juillet 2012/180 consid. 1 ; Kistler Vianin, op. cit., n. 34 ad art. 398 CPP et les réf. citées). 9.3 L’appelant fait en l’occurrence une lecture erronée du jugement de la Cour de céans du 25 mars 2020, qui n’a pas laissé la question de la recevabilité de l’appel ouverte mais qui a uniquement indiqué qu’il n’examinerait pas cette question dès lors que cet appel devait de toute manière être rejeté sur le fond pour un autre motif (CAPE 25 mars 2020/166 consid. 1.2). Au contraire, il faut constater que la Cour d’appel pénale, se ralliant à l’avis d’une partie de la doctrine sur ce point, entre systématiquement en matière sur les appels portant sur des prétentions civiles inférieures à 10'000 fr., cela afin de respecter le droit d’être entendu des parties et le but de l’art. 398 al. 5 CPP, le pouvoir d’examen étant toutefois dans ce cas limité à la violation du droit et à la constatation manifestement inexacte des faits. Or, rien ne justifie de s’écarter de cette jurisprudence constante dans le cas d’espèce, étant précisé qu’un refus d’entrée en matière aurait pour inconvénient de dédoubler les procédures judiciaires dans une situation où la complexité des faits et du droit ne le justifie manifestement pas. En pareille hypothèse, les victimes seraient alors contraintes, sans que l’on puisse y discerner le moindre avantage pour les parties, d’initier un nouveau procès avec toutes les difficultés que cela suppose, ce qui apparaît contraire au principe de célérité de la procédure et qui contribuerait à l’accroissement injustifié des procès devant les instances judiciaires, inconvénients qui n’ont certainement pas été voulus par le législateur.</w:t>
      </w:r>
    </w:p>
    <w:p>
      <w:r>
        <w:t>- 51 - Pour le reste, il ressort de la jurisprudence rendue par la Cour de céans que l’appel est recevable contre le jugement qui renvoie la partie plaignante à agir par la voie civile (JdT 2012 III 246 ; CAPE 10 avril 2013/33 consid. 5.1). En définitive, il convient d’admettre que l’appel interjeté par Y.________, déposé en temps utile, est recevable. 10. 10.1 L’appelante fonde ses prétentions en tort moral sur les faits retenus à l’encontre de K.________ aux cas relatés sous points C.2.5 (cas 8 de l’acte d’accusation), C.2.6 (cas 9 de l’acte d’accusation), C.2.9 (cas 16 de l’acte d’accusation) et C.2.10 (cas 17 de l’acte d’accusation) supra. Elle reproche à l’autorité de première instance de l’avoir renvoyée à agir par la voie civile alors qu’elle aurait disposé de suffisamment d’éléments pour lui allouer une indemnité en tort moral. Elle se prévaut des comportements commis directement à son encontre et de ceux qui ont été subis par fille et qui lui auraient causé un préjudice indirect. Se fondant sur les rapports établis par le Centre de psychiatrie et psychothérapie des Toises (P. 152/1 et 188/1/5), auprès duquel elle a bénéficié d’un suivi durant plus d’un an, elle indique souffrir d’une symptomatologie anxio-dépressive. Elle expose qu’elle aurait été victime de violences physiques et psychologiques alors qu’elle était enceinte de l’enfant qu’elle a eu avec l’appelant. D’ailleurs, [...] présenterait aujourd’hui un fort retard de langage, qui devrait être mis en lien avec les violences domestiques éprouvées (cf. P. 188/1/7 et 188/1/8). Elle soutient également avoir souffert des agissements commis à l’égard de sa première fille, avec laquelle elle se serait retrouvée dans une situation conflictuelle. Son état de détresse profond, sa peur, son inquiétude et son désespoir ressortiraient également des « lettres de soutien » établies par l’aumônière de l’Eglise catholique auprès de laquelle elle s’était confiée. 10.2 Selon l’art. 122 al. 1 CPP, en qualité de partie plaignante, le lésé peut faire valoir des conclusions civiles déduites de l’infraction par</w:t>
      </w:r>
    </w:p>
    <w:p>
      <w:r>
        <w:t>- 52 - adhésion à la procédure pénale. D’après l’art. 123 al. 1 CPP, dans la mesure du possible, la partie plaignante chiffre ses conclusions civiles dans sa déclaration et les motive par écrit ; elle cite les moyens de preuve qu’elle entend invoquer. Le tribunal statue également sur les conclusions civiles présentées lorsqu’il rend un verdict de culpabilité à l’encontre du prévenu (art. 126 al. 1 let. a CPP). Aux termes de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10.3 Au cas 8, il a été retenu que l’appelante avait été victime de lésions corporelles simples qualifiées et de menaces qualifiées, au cas 9, de menaces qualifiées, au cas 16, de voies de fait qualifiées, et au cas 17, de voies de fait qualifiées, de violation du domaine secret ou du domaine privé au moyen d’un appareil de prise de vues et de violation de domicile. Les actes répréhensibles se sont inscrits sur la durée : au mois de juillet 2017 pour le cas 8, entre les mois de janvier 2016 et de juillet 2017 pour le cas 9, le 9 mai 2019 pour le cas 16 et le 11 mai 2019 pour le cas 17.</w:t>
      </w:r>
    </w:p>
    <w:p>
      <w:r>
        <w:t>- 53 - Les faits commis à l’encontre de l’appelante durant de nombreux mois concernent des atteintes physiques et psychiques, ce qui justifie, sur le principe, l’allocation d’une indemnité en tort moral. Il résulte de l’accompagnement réalisé par [...], aumônière de l’Eglise catholique du canton de Vaud, que la plaignante s’est ouverte auprès de cette personne des violences conjugales qu’elle subissait. L’appelante a par ailleurs bénéficié d’une prise en charge auprès du Centre de psychiatrie et psychothérapie des Toises à Lausanne du 4 juillet 2018 au 14 novembre 2019. Cependant, si les thérapeutes en charge du suivi ont mis en évidence un sentiment d’insécurité et de détresse, ceux-ci ont précisé que ce sentiment était en lien avec la procédure de séparation judiciaire et avec l’inquiétude que l’appelante ressentait par rapport à son avenir et à celui de ses filles (P. 152/1). Cette attestation ne permet pas d’identifier les atteintes psychiques qui ont résulté directement des violences subies, les conséquences mentionnées par les thérapeutes apparaissant uniquement en lien avec la procédure de séparation et les incidences administratives qui y sont liées vis-à-vis du statut des étrangers de l’appelante en Suisse. Dans le deuxième rapport figurant au dossier, les thérapeutes ont précisé que la vie commune avec le prévenu avait également interféré négativement sur l’état de santé psychique de la patiente (P. 188/1/5). La teneur de ce rapport diffère donc du premier, alors même qu’ils sont tous deux postérieurs à la fin du suivi de l’appelante. En outre, il est à relever que celle-ci n’a commencé à consulter qu’un an après la séparation. Partant, il faut apprécier ces rapports médicaux avec retenue. Même s’il se justifie pleinement de reconnaître que la plaignante a subi une atteinte sur les plans physique et psychique ensuite des violences conjugales qu’elle a subies, celle-ci doit être considérée comme relativement limitée s’agissant des faits examinés dans la présente cause. Pour ce qui concerne les violences sexuelles subies par C.________, les attestations établies par les thérapeutes mentionnent que la plaignante leur a fait part du traumatisme de l’enfant, lequel « majorait chez la patiente le sentiment d’insécurité et d’inquiétude pour sa deuxième fille, ne sachant pas comment la protéger, car cette dernière</w:t>
      </w:r>
    </w:p>
    <w:p>
      <w:r>
        <w:t>- 54 - était gardée par son époux en alternance avec la patiente » (P. 152/1). Là également, ces rapports ne fournissent pas d’élément individualisable sur l’atteinte psychique qu’aurait subi la plaignante par rapport aux faits qui concernent C.________, la symptomatologie décrite apparaissant exclusivement liée à l’exercice des relations personnelles de l’appelant vis-à-vis de sa seconde fille. Au vu de ce qui précède, il apparaît adéquat et justifié d’accorder à l’appelante une indemnité en tort moral d’un montant de 2'000 francs. Le jugement doit être modifié en ce sens. III. Conclusions, frais et indemnités 11. 11.1 En définitive, les appels de K.________ et d’Y.________ doivent être partiellement admis et le jugement querellé réformé dans le sens des considérants qui précèdent. 11.2 Le prévenu, sans tenir compte de la prescription survenue dans deux cas, est finalement libéré de cinq cas sur les vingt dénoncés. Il se justifie dès lors de modifier la répartition des frais de la procédure de première instance, d’un montant total de 44'646 fr. 90, y compris l’indemnité due au défenseur d’office, en les mettant par trois quarts, soit par 33'485 fr. 15, à la charge de K.________, le solde étant laissé à la charge de l’Etat (cf. art. 426 CPP). 11.3 S’agissant de la procédure d’appel, la liste des opérations produite par le défenseur d’office de K.________ fait état d’un temps total consacré au mandat de 31 heures et 40 minutes (P. 190). La durée comptabilisée pour les recherches juridiques précédant l’établissement de l’appel, de 2 heures, sera réduite de moitié, dès lors qu’une durée totale de 6 heures est déjà prise en compte pour la rédaction de l’appel. En outre, le temps annoncé pour l’établissement de la demande de non- entrée en matière, de 4 heures et 30 minutes, est excessif vu la relative brièveté de cette écriture. Il sera réduit à 2 heures. Enfin, la durée</w:t>
      </w:r>
    </w:p>
    <w:p>
      <w:r>
        <w:t>- 55 - alléguée pour la préparation de l’audience, de 7 heures au total, est aussi trop élevée compte tenu du fait que le dossier était déjà parfaitement connu du défenseur. Il doit être largement réduit. En définitive, on retiendra une durée à indemniser de 25 heures. Ainsi, c’est une indemnité de 5'072 fr. 65, correspondant à des honoraires, par 4'500 fr. (25 heures au tarif horaire d’avocat de 180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90 fr., une vacation, par 120 fr., et la TVA, par 362 fr. 65, qui sera allouée à Me Julie Zryd pour la procédure d’appel. Le conseil d’office d’Y.________ a produit un relevé des opérations qui mentionne un temps total consacré au dossier de 22,29 heures (P. 191). Cette durée apparaît quelque peu élevée. On retranchera ainsi 1 heure au temps de 4 heures annoncé pour la rédaction d’appel, 1 heure au temps de 3 heures annoncé pour l’étude du dossier et la préparation de l’audience et 0,5 heure au temps de 1,5 heure annoncé pour les déterminations à la Cour de céans. Compte tenu également de la durée de l’audience d’appel, qui a été moins longue que celle annoncée, on retiendra un temps à indemniser de 19 heures. Ainsi, c’est une indemnité de 3'886 fr. 25, correspondant à des honoraires, par 3'420 fr. (19 heures au tarif horaire d’avocat de 180 fr.), des débours – limités forfaitairement à 2 % du défraiement hors taxe (cf. art. 3bis al. 1 RAJ) –, par 68 fr. 40, une vacation, par 120 fr., et la TVA, par 277 fr. 85, qui sera allouée à Me Zakia Arnouni pour la procédure d’appel. Sur la base de la liste des opérations produite par Me Céline Jarry-Lacombe (P. 192), dont il n’y a pas lieu de s’écarter, c’est une indemnité pour la procédure d’appel d’un montant de 2'080 fr. 25, correspondant à 9 heures et 52 minutes de travail d’avocat au tarif horaire de 180 fr., par 1'776 fr., des débours forfaitaires de 2 %, par 35 fr. 50, une vacation, par 120 fr., et la TVA, par 148 fr. 75, qui sera allouée au conseil juridique gratuit de C.________. A cet égard, force est de constater que le</w:t>
      </w:r>
    </w:p>
    <w:p>
      <w:r>
        <w:t>- 56 - chiffre VI du dispositif communiqué aux parties contient une erreur de calcul manifeste en ce sens qu’il alloue à Me Céline Jarry-Lacombe une indemnité plus élevée de 2'502 fr. 90. Cette erreur ne porte pas à conséquence, dès lors que la totalité du montant réclamé par le conseil d’office lui est finalement allouée et que cela entraîne une réduction des frais pour l’appelant. En application de l’art. 83 CPP, le dispositif sera dès lors rectifié d’office sur ce point. Vu l’issue de la cause, les frais de la procédure d’appel, par 16'359 fr. 15, constitués de l’émolument d’audience et de jugement, par 5'320 fr. (art. 21 al. 1 et 2 TFIP), ainsi que des indemnités allouées au défenseur d’office de l’appelant, par 5'072 fr. 65, au conseil d’office de l’appelante, par 3'886 fr. 25, et au conseil d’office de la plaignante C.________, par 2'080 fr. 25, seront mis par trois quarts, soit par 12'269 fr. 35, à la charge de K.________ (art. 428 al. 1, 1re phrase, CPP), le solde étant laissé à la charge de l’Etat. L’appelant ne sera toutefois tenu de rembourser à l’Etat les trois quarts des indemnités d’office allouées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