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PE17.012806 vom 20. September 2017</w:t>
      </w:r>
    </w:p>
    <w:p>
      <w:r>
        <w:t>VD Tribunal cantonal, 2017-09-20, FR</w:t>
      </w:r>
    </w:p>
    <w:p>
      <w:r>
        <w:rPr>
          <w:b/>
        </w:rPr>
        <w:t xml:space="preserve">Quelle: </w:t>
      </w:r>
      <w:r>
        <w:t>https://mcp.opencaselaw.ch/entscheid/vd_gerichte_PE17.012806</w:t>
      </w:r>
    </w:p>
    <w:p>
      <w:r>
        <w:t>FR: VD_GERICHTE PE17.012806 du 20 septembre 2017</w:t>
      </w:r>
    </w:p>
    <w:p>
      <w:r>
        <w:t>IT: VD_GERICHTE PE17.012806 del 20 settembre 2017</w:t>
      </w:r>
    </w:p>
    <w:p>
      <w:pPr>
        <w:pStyle w:val="Heading2"/>
      </w:pPr>
      <w:r>
        <w:t>Volltext</w:t>
      </w:r>
    </w:p>
    <w:p>
      <w:r>
        <w:t>TRIBUNAL CANTONAL 639 PE17.012806-ERY CHAMBRE DE S RECO URS PEN ALE __________________________________________ Arrêt du 20 septembre 2017 __________________ Composition :M. MAILLARD, président MM. Meylan et Krieger, juges Greffière : Mme Vuagniaux ***** Art. 310 CPP Statuant sur le recours interjeté le 11 septembre 2017 par U.________ contre l'ordonnance de non-entrée en matière rendue le 31 août 2017 par le Ministère public de l'arrondissement de Lausanne dans la cause no PE17.012806-ERY, la Chambre des recours pénale considère : En fait : A. a) Sur son blog, hébergé sous l'adresse [...], le 27 décembre 2006, A.________ a publié un article dans lequel il critiquait la manière dont il avait été traité suite à une commande passée le 31 mai 2006 avec la société E.________SA. Cet article est accessible sur la page Internet [...] [...]. 351</w:t>
      </w:r>
    </w:p>
    <w:p>
      <w:r>
        <w:t>- 2 - A.________ a actualisé cette page Internet les 28 novembre 2007, 1er février 2009, 3 septembre 2014, 27 février 2016 et 27 mars 2017. Dans ses nouveaux commentaires, il a expliqué les suites, notamment judiciaires, qui ont été données à cette publication. Le contenu du dernier article d'A.________ est le suivant : « Mise à jour (25 mars 2017). Me demandant ce que le patron d'une entreprise en faillite peut devenir dans les mois et les années suivant la dite faillite, je suis allé faire un tour sur le site [...]. J'ai été surpris d'apprendre que le patron d'E.________SA est ou a été actif dans pas moins de 15 sociétés ! Ces 15 sociétés, toutes genevoises à l'exception d'une société, inactive, inscrite sur le canton de Vaud, comprennent : • 3 sociétés qui sont en réalité simplement des entrées liées à E.________SA ( [...], [...] et [...]) • 1 société, active dans le domaine de la restauration, qui a fait faillite en 2015 • 1 société, active dans le domaine de la mécanique de précision, à laquelle le patron d'E.________SA n'est plus associé depuis 2015 • 1 société, toujours active dans le domaine fiduciaire, fondée en 2010 • 9 sociétés actives, que le patron d'E.________SA a fondées ou rejointes depuis 2014, à savoir depuis les derniers souffles d'E.________SA, dont : • 1 société dans le domaine de l'informatique • 1 société dans le domaine du placement temporaire • 1 société dans le domaine fiduciaire • 6 sociétés dans le domaine de la restauration (1 / 2 / 3 / 4 / 5 / 6) 10 sociétés actives, donc, dans les domaines de la restauration, de l'informatique, du placement temporaire, ainsi que dans le domaine des fiduciaires. J'aimerais pouvoir être optimiste et dire que c'est une bonne chose que le patron d'E.________SA sache rebondir et se diversifier, mais, vu mon vécu, je ne peux m'empêcher d'avoir une certaine inquiétude pour toutes les personnes qui feront affaire avec ces sociétés.. » b) U.________ a déposé plainte le 20 juin 2017 contre A.________ pour diffamation.</w:t>
      </w:r>
    </w:p>
    <w:p>
      <w:r>
        <w:t>- 3 - B. Par ordonnance du 31 août 2017, le Ministère public de l'arrondissement de Lausanne a refusé d'entrer en matière sur la plainte, les frais étant laissés à la charge de l'Etat. C. Par acte du 11 septembre 2017, U.________ a recouru contre cette ordonnance, en concluant, avec suite de frais et dépens, à son annulation et au renvoi de la cause au ministère public compétent. Il n'a pas été ordonné d'échange d'écritures. En d roit : 1. 1.1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septembre 1979 ; RSV 173.01]). 1.2 En l'espèce, interjeté en temps utile et dans les formes prescrites (art. 385 al. 1 CPP) auprès de l’autorité compétente, par la partie plaignante qui a qualité pour recourir (art. 382 al. 1 CPP), le recours est recevable. 2. 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w:t>
      </w:r>
    </w:p>
    <w:p>
      <w:r>
        <w:t>- 4 - de la police (art. 300 al. 1 et 306 ss CPP), que les éléments constitutifs d'une infraction ou les conditions à l'ouverture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3. 3.1 Le recourant soutient qu'il aurait été directement nommé dans l'article litigieux, puisqu'A.________ a créé un lien qui renvoie à un extrait du site « [...] » qui le concerne, que le but de celui-ci ne serait pas seulement de déconseiller aux consommateurs de traiter avec E.________SA, mais également avec lui-même, et qu'en ne supprimant pas le commentaire anonyme « un arnaqueur reste un arnaqueur, sauf s'il change de visage », A.________ aurait agi en tant que co-auteur et devrait être sanctionné pour atteinte à l'honneur. 3.2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- 5 -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133 IV 308 consid. 8.5.1 ; ATF 132 IV 112 consid. 2.1 ; ATF 128 IV 53 consid. 1a). La diffamation suppose une allégation de fait et non un simple jugement de valeur (ATF 117 IV 27 consid. 2c).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 ATF 121 IV 76 consid. 2a/bb ; ATF 119 IV 44 consid. 2a ; ATF 118 IV 248 consid. 2b ; TF 6B_143/2011 du 16 septembre 2011 consid. 2.1.3 et les références citées). L’infraction est intentionnelle. L’intention de l’auteur doit porter sur tous les éléments constitutifs objectifs (Corboz, Les infractions en droit suisse, vol. I, 3e éd., Berne 2010, n. 48 ad art. 173 CP). L’auteur doit être conscient du caractère attentatoire à l’honneur de son allégation ; le dol éventuel est suffisant (ATF 118 IV 153 consid. 5g, JdT 1994 IV 110).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ainsi en va-t-il des critiques qui visent comme tel l'homme de métier, l'artiste ou le politicien (ATF 128 IV 53 consid. 1a). S'agissant d'un texte, il doit être analysé non seulement en fonction des expressions utilisées, prises séparément, mais aussi selon le sens général qui se dégage du texte dans son ensemble (ATF 117 IV 27 consid. 2c ; ATF 115 IV 42 consid. 1c).</w:t>
      </w:r>
    </w:p>
    <w:p>
      <w:r>
        <w:t>- 6 - 3.3 En l'espèce, dans l'article incriminé, A.________ cite plusieurs sociétés qu'il a trouvées sur le site « [...] » dans lesquelles le recourant est ou a été actif, constate que les domaines d'activité de ces entreprises sont variés et se déclare inquiet pour les personnes qui feront affaire avec elles, compte tenu de la mauvaise expérience vécue quelques années auparavant avec la société E.________SA, dont le recourant était l'administrateur. Ces propos font certes douter des compétences du recourant sur le plan professionnel – dès lors que le lien créé par A.________ permet effectivement d'identifier le recourant même si son nom n'est pas expressément cité dans l'article –, mais ils ne le font pas apparaître comme un homme méprisable et ne jettent pas le soupçon sur lui de tenir une conduite contraire à l'honneur au sens de la jurisprudence. En outre, comme le recourant l'indique lui-même, ce n'est pas A.________ qui a posté le commentaire « « un arnaqueur reste un arnaqueur, sauf s'il change de visage », mais une personne sous couvert d'anonymat, et le fait qu'A.________ n'ait pas effacé ce commentaire n'y change rien. Force est donc de constater que les allégations d'A.________ ont pour seul objet des critiques sur les qualités professionnelles du recourant et que les qualités humaines de ce dernier ne sont pas remises en cause. C'est donc à bon droit que le Procureur a retenu que les propos publiés n'étaient pas constitutifs d'une infraction contre l'honneur et n'est pas entré en matière conformément à l'art. 310 al. 1 let. a CPP. 4. Il s'ensuit que le recours, manifestement mal fondé, doit être rejeté sans autre échange d’écritures (art. 390 al. 2 CPP) et l’ordonnance entreprise confirmée. Les frais d'arrêt, par 660 fr. (art. 20 al. 1 TFIP [tarif des frais de procédure et indemnités en matière pénale du 28 septembre 2010 ; RSV 312.03.1]), seront mis à la charge du recourant, qui succombe (art. 428 al. 1 CPP).</w:t>
      </w:r>
    </w:p>
    <w:p>
      <w:r>
        <w:t>- 7 - Par ces motifs, la Chambre des recours pénale prononce : I. Le recours est rejeté. II. L'ordonnance du 31 août 2017 est confirmée. III. Les frais de la procédure de recours, par 660 fr. (six cent soixante francs), sont mis à la charge d'U.________. IV. L’arrêt est exécutoire. Le président : La greffière :</w:t>
      </w:r>
    </w:p>
    <w:p>
      <w:r>
        <w:t>- 8 - Du Le présent arrêt, dont la rédaction a été approuvée à huis clos, est notifié, par l'envoi d'une copie complète, à : - Me Titus van Stiphout,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