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PE17.012716 vom 18. April 2018</w:t>
      </w:r>
    </w:p>
    <w:p>
      <w:r>
        <w:t>VD Tribunal cantonal, 2018-04-18, FR</w:t>
      </w:r>
    </w:p>
    <w:p>
      <w:r>
        <w:rPr>
          <w:b/>
        </w:rPr>
        <w:t xml:space="preserve">Quelle: </w:t>
      </w:r>
      <w:r>
        <w:t>https://mcp.opencaselaw.ch/entscheid/vd_gerichte_PE17.012716</w:t>
      </w:r>
    </w:p>
    <w:p>
      <w:r>
        <w:t>FR: VD_GERICHTE PE17.012716 du 18 avril 2018</w:t>
      </w:r>
    </w:p>
    <w:p>
      <w:r>
        <w:t>IT: VD_GERICHTE PE17.012716 del 18 aprile 2018</w:t>
      </w:r>
    </w:p>
    <w:p>
      <w:pPr>
        <w:pStyle w:val="Heading2"/>
      </w:pPr>
      <w:r>
        <w:t>Erwägungen</w:t>
      </w:r>
    </w:p>
    <w:p>
      <w:r>
        <w:rPr>
          <w:b/>
        </w:rPr>
        <w:t>E. 10</w:t>
      </w:r>
    </w:p>
    <w:p>
      <w:r>
        <w:t>avril 2017, au cours duquel, selon le directeur administratif de cette société, elle aurait notamment lancé une bouteille à travers la pièce et arraché des documents des mains de ce dernier en vociférant, avant de fuir de l’agence en courant. Au regard des éléments qui précèdent, c’est à juste titre que le Ministère public a ordonné le classement de la présente procédure. 3. En conclusion, le recours, manifestement mal fondé,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13 février 2018 est confirmée. III. Les frais d’arrêt, par 770 fr. (sept cent septante francs), sont mis à la charge d’U.________.</w:t>
      </w:r>
    </w:p>
    <w:p>
      <w:r>
        <w:t>- 8 - IV. L’arrêt est exécutoire. Le président : Le greffier : Du Le présent arrêt, dont la rédaction a été approuvée à huis clos, est notifié, par l'envoi d'une copie complète, à : - Me Sébastien Thüler, avocat (pour U.________), - Me Alain Thévenaz, avocat (pour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