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PE17.012711 vom 28. August 2019</w:t>
      </w:r>
    </w:p>
    <w:p>
      <w:r>
        <w:t>VD Tribunal cantonal, 2019-08-28, FR</w:t>
      </w:r>
    </w:p>
    <w:p>
      <w:r>
        <w:rPr>
          <w:b/>
        </w:rPr>
        <w:t xml:space="preserve">Quelle: </w:t>
      </w:r>
      <w:r>
        <w:t>https://mcp.opencaselaw.ch/entscheid/vd_gerichte_PE17.012711</w:t>
      </w:r>
    </w:p>
    <w:p>
      <w:r>
        <w:t>FR: VD_GERICHTE PE17.012711 du 28 août 2019</w:t>
      </w:r>
    </w:p>
    <w:p>
      <w:r>
        <w:t>IT: VD_GERICHTE PE17.012711 del 28 agosto 2019</w:t>
      </w:r>
    </w:p>
    <w:p>
      <w:pPr>
        <w:pStyle w:val="Heading2"/>
      </w:pPr>
      <w:r>
        <w:t>Erwägungen</w:t>
      </w:r>
    </w:p>
    <w:p>
      <w:r>
        <w:rPr>
          <w:b/>
        </w:rPr>
        <w:t>E. 31</w:t>
      </w:r>
    </w:p>
    <w:p>
      <w:r>
        <w:t>décembre 2014 que l’outillage était comptabilisé pour une valeur de 34'000 fr. (pièce 18). Cet actif paraît avoir disparu dans l’inventaire de la faillite dressé le 25 janvier 2016, les objets mobiliers ayant été estimés au total à 1'275 fr., dont seulement 50 fr. correspondant à un lot d’outillage (pièce 18). Compte tenu des circonstances et de la similitude des montants (valeur de 34'000 fr. dans les deux cas, pour du matériel similaire), des investigations complémentaires sur l’éventuelle disparition de cet actif avant le prononcé de la faillite paraissent nécessaires. Il se justifie ainsi d’annuler l’ordonnance de classement et de renvoyer le dossier de la cause au Ministère public pour qu’il poursuive l’instruction. 3. Il résulte de ce qui précède que le recours doit être admis. L’ordonnance de classement du 17 juillet 2019 doit être annulée et le dossier de la cause renvoyé au Ministère public de l’arrondissement du Nord vaudois pour qu’il procède dans le sens des considérants. Les frais de la procédure de recours, constitués en l’espèce de l’émolument d'arrêt, par 990 fr. (art. 20 al. 1 TFIP [tarif des frais de procédure et indemnités en matière pénale du 28 septembre 2010 ; BLV 312.03.1]), et de l’indemnité due au conseil d’office de la recourante, fixée à 593 fr. 20, soit au total par 1'583 fr. 20, sont mis à la charge de l’intimé A.E.________, qui succombe (art. 423 al. 1 CPP).</w:t>
      </w:r>
    </w:p>
    <w:p>
      <w:r>
        <w:t>- 10 - Par ces motifs, la Chambre des recours pénale prononce : I. Le recours est admis. II. L’ordonnance du 17 juillet 2019 est annulée. III. Le dossier de la cause est renvoyé au Ministère public de l’arrondissement du Nord vaudois pour qu’il procède dans le sens des considérants. IV. L’indemnité allouée à Me Alexa Landert, conseil d’office de B.E.________, est fixée à 593 fr. 20 (cinq cent nonante-trois francs et vingt centimes), TVA et débours compris. V. Les frais d’arrêt, par 990 fr. (neuf cent nonante francs), ainsi que l’indemnité allouée au conseil d’office de la recourante sous ch. IV ci-dessus, par 593 fr. 20 (cinq cent nonante-trois francs et vingt centimes), sont mis à la charge de A.E.________. VI. L’arrêt est exécutoire. Le président : La greffière : Du Le présent arrêt, dont la rédaction a été approuvée à huis clos, est notifié, par l'envoi d'une copie complète, à : - Me Alexa Landert, avocate (pour B.E.________), - A.E.________, - Ministère public central, et communiqué à : - M. le Procureur de l’arrondissement du Nord vaudois, par l’envoi de photocopies.</w:t>
      </w:r>
    </w:p>
    <w:p>
      <w:r>
        <w:t>- 11 -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