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PE17.012699 vom 9. Juni 2020</w:t>
      </w:r>
    </w:p>
    <w:p>
      <w:r>
        <w:t>VD Tribunal cantonal, 2020-06-09, FR</w:t>
      </w:r>
    </w:p>
    <w:p>
      <w:r>
        <w:rPr>
          <w:b/>
        </w:rPr>
        <w:t xml:space="preserve">Quelle: </w:t>
      </w:r>
      <w:r>
        <w:t>https://mcp.opencaselaw.ch/entscheid/vd_gerichte_PE17.012699</w:t>
      </w:r>
    </w:p>
    <w:p>
      <w:r>
        <w:t>FR: VD_GERICHTE PE17.012699 du 9 juin 2020</w:t>
      </w:r>
    </w:p>
    <w:p>
      <w:r>
        <w:t>IT: VD_GERICHTE PE17.012699 del 9 giugno 2020</w:t>
      </w:r>
    </w:p>
    <w:p>
      <w:pPr>
        <w:pStyle w:val="Heading2"/>
      </w:pPr>
      <w:r>
        <w:t>Erwägungen</w:t>
      </w:r>
    </w:p>
    <w:p>
      <w:r>
        <w:rPr>
          <w:b/>
        </w:rPr>
        <w:t>E. 1</w:t>
      </w:r>
    </w:p>
    <w:p>
      <w:r>
        <w:t>S.________ (ci-après : le prévenu ou l’appelant) est né le [...] 1960 au Cap-Vert, pays dont il est ressortissant et où il a effectué l’école obligatoire, avant de travailler à la campagne jusqu’à ses 22 ans. Après un passage de quelques années au Portugal, le prévenu s’est installé dans notre pays en 1988. Ne bénéficiant d’aucune formation spécifique, il a travaillé dans l’agriculture puis dans l’industrie. Depuis une dizaine d’année, S.________, qui est au bénéfice d’un permis d’établissement (permis C), travaille dans le domaine des échafaudages. Le 1er mai 2017, il a été engagé en qualité d’aide-monteur en échafaudages auprès de la société [...]. Il est payé à l’heure, son salaire horaire s’élevant à 23 fr. bruts. Il travaille entre huit et dix mois par an, selon les chantiers qui sont ouverts. Les mois où il travaille à 100 %, il perçoit un salaire brut de 4'325 francs. Le prévenu est le père de six enfants. Il a deux enfants majeurs vivant au Cap-Vert, deux enfants domiciliés à Genève, soit [...] et [...], âgés respectivement, selon ses dires, d’environ 21 ans et 11 ans, et deux autres enfants vivant à Lausanne, soit [...], né le [...] 1997, et [...],</w:t>
      </w:r>
    </w:p>
    <w:p>
      <w:r>
        <w:t>- 13 - née le [...] 2003. Le prévenu a exposé avoir des contacts par téléphone environ deux fois par mois avec sa famille du Cap-Vert, étant précisé qu’il a des frères et des sœurs dans ce pays. Il s’y rend une fois par an, voire parfois à intervalles plus longs. Ses enfants majeurs sont propriétaires d’une maison au Cap-Vert, où il leur rend visite. S’agissant de ses enfants vivant en Suisse, le prévenu a exposé n’avoir aucun contact avec [...] et [...] et avoir des contacts bimensuels avec [...] et [...], par téléphone ou en présentiel. Avant son incarcération, le prévenu vivait en colocation à Moudon avec [...], auquel il payait 500 fr. de loyer. L’extrait du registre des poursuites relatif à S.________ fait état d’un montant total de poursuites de 350'818 fr. 51, étant précisé que durant les vingt dernières années, le prévenu a fait l’objet de 150 actes de défaut de biens, à hauteur de 342'843 fr. 75. Le casier judiciaire du prévenu comprend les inscriptions suivantes : - 02.04.2013, Ministère public du canton de Genève : violation d’une obligation d’entretien, peine pécuniaire de 30 jours-amende à 30 fr. avec sursis de trois ans, sursis révoqué le 17.02.2015 ; - 17.02.2015, Ministère public du canton de Genève : violation d’une obligation d’entretien, peine pécuniaire de 150 jours-amende à 30 fr., peine partiellement complémentaire au jugement du 02.04.2013 ; - 16.04.2015, Ministère public de l’arrondissement de Lausanne : violation d’une obligation d’entretien, peine privative de liberté de 140 jours, peine partiellement complémentaire au jugement du 02.04.2013. A la date de l’audience de première instance, le prévenu avait passé 25 jours en détention provisoire. Au jour du présent jugement, il se trouvait toujours en détention.</w:t>
      </w:r>
    </w:p>
    <w:p>
      <w:r>
        <w:rPr>
          <w:b/>
        </w:rPr>
        <w:t>E. 2.1</w:t>
      </w:r>
    </w:p>
    <w:p>
      <w:r>
        <w:t>A [...], dans l’après-midi du 2 juillet 2017, S.________ s’est rendu dans la buanderie de l’immeuble qu’il occupait avec sa concubine, X.________, en compagnie de la petite-fille de celle-ci, R.________, née le [...]</w:t>
      </w:r>
    </w:p>
    <w:p>
      <w:r>
        <w:t>- 14 - 2010. A cet endroit, la fillette s’est étendue sur le sol afin de profiter de la fraicheur du carrelage. Le prévenu s’est dès lors couché sur elle, l’entravant ainsi dans ses mouvements, et – vraisemblablement après s’être décalé, assis ou soulevé (cf. infra consid. 3.3.1) – a baissé le short et la culotte qu’elle portait jusqu’à la hauteur des genoux. Il a ensuite caressé les parties génitales de l’enfant au moyen de ses doigts. Durant les événements, S.________ lui a déclaré qu’il ne fallait rien dire à personne. Après avoir entendu du bruit, il a cessé ses agissements et a demandé à la fillette de se lever. A cet instant, B.F.________, sœur aînée de R.________, a pénétré dans la pièce et a constaté que le bouton du short de cette dernière était ouvert. Après que sa petite sœur lui eut dit que S.________ lui avait « gratté le pipi », B.F.________ a alerté sa grand-maman. W.________ et C.F.________, représentants légaux de R.________, ont déposé plainte le 3 juillet 2017.</w:t>
      </w:r>
    </w:p>
    <w:p>
      <w:r>
        <w:rPr>
          <w:b/>
        </w:rPr>
        <w:t>E. 2.1.1</w:t>
      </w:r>
    </w:p>
    <w:p>
      <w:r>
        <w:t>; TF 6B_288/2017 du 19 janvier 2018 consid. 5.1 ; TF 6B_785/2011 du 29 juin 2012 consid. 3.2 et les références citées).</w:t>
      </w:r>
    </w:p>
    <w:p>
      <w:r>
        <w:rPr>
          <w:b/>
        </w:rPr>
        <w:t>E. 2.2</w:t>
      </w:r>
    </w:p>
    <w:p>
      <w:r>
        <w:t>Tant en cours d’enquête qu’aux débats des deux instances, le prévenu a formellement contesté les faits incriminés, évoquant, devant les premiers juges et en appel, le fait que R.________ et sa sœur avaient inventé cette histoire afin de l’écarter de leur famille.</w:t>
      </w:r>
    </w:p>
    <w:p>
      <w:r>
        <w:rPr>
          <w:b/>
        </w:rPr>
        <w:t>E. 2.3</w:t>
      </w:r>
    </w:p>
    <w:p>
      <w:r>
        <w:t>Entendue par la police le lendemain des faits, R.________ s’est montrée mal à l’aise en début d’audition, répétant à plusieurs reprises que ça la stressait, qu’elle n’avait « pas envie de dire » et qu’elle préférait quand sa maman était là. Elle a finalement accepté de livrer sa version lorsque l’inspectrice lui a proposé qu’elles échangent leur place, l’enfant n’étant plus assise face à la caméra. R.________ a alors déclaré que le prévenu (« S.________ ») lui avait « enlevé le caleçon jusqu’aux genoux » puis qu’il « avait commencé à le faire ». Elle a précisé qu’il « l’avait fait avec sa main », levant sa main droite, pendant que l’autre main du prévenu était par terre. Elle a aussi exposé qu’elle était couchée au sol et qu’il était couché sur elle, « ventre à ventre ». Elle a en outre spontanément mimé le geste commis par le prévenu en montrant sur le bord du canapé comment il avait déplacé ses doigts, en précisant que pendant « qu’il le faisait », les doigts du prévenu étaient « dehors ».</w:t>
      </w:r>
    </w:p>
    <w:p>
      <w:r>
        <w:t>- 15 - Questionnée sur l’endroit où le prévenu avait fait le geste qu’elle venait de mimer, elle a désigné son entrejambe. Elle a nommé cet endroit le « pipi », en portugais. Elle a décrit l’habillement du prévenu (« il avait un pantalon et puis un t-shirt »), ainsi que son comportement pendant les faits (« il souriait pis en même temps il me parlait », « il disait qu’on devait dire à personne »). Elle a spontanément indiqué à l’inspectrice que le prévenu avait fait « chut » et que quand sa sœur était arrivée il lui avait dit « lève-toi ». Elle a évoqué des éléments sensoriels, tels que la fraicheur du sol où elle était couchée et le bruit lorsque sa sœur était arrivée, et a décrit ses émotions : « j’étais fâchée », «j’ai senti que mon père il allait se fâcher », « c’était pas bien de faire ça et pis aussi j’aimais pas quand il me faisait ça ». Elle a déclaré que cela s’était passé une seule fois, soit lors du dernier des trois passages à la buanderie, où ils s’étaient rendus pour « chercher les habits » (« dans la buanderie, il y a une machine à laver et une machine à sécher »). Elle a précisé que son propre caleçon avait des fleurs oranges et rouges et que le prévenu lui avait donné un kinder et une barre de céréales avec des bouts de chocolat. Elle a également reconnu que le prévenu lui avait renversé de l’eau dessus auparavant alors qu’il nettoyait le grill sur le balcon mais qu’il « ne l’avait pas fait exprès ». Enfin, elle a expliqué que son père, mis au courant, avait frappé le prévenu lorsqu’il était venu la chercher juste après les faits et également plus tard dans la journée.</w:t>
      </w:r>
    </w:p>
    <w:p>
      <w:r>
        <w:rPr>
          <w:b/>
        </w:rPr>
        <w:t>E. 2.3.2</w:t>
      </w:r>
    </w:p>
    <w:p>
      <w:r>
        <w: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w:t>
      </w:r>
    </w:p>
    <w:p>
      <w:r>
        <w:t>- 36 - (ATF 144 IV 332 consid. 3.3.2 ; TF 6B_143/2019 du 6 mars 2019 consid.</w:t>
      </w:r>
    </w:p>
    <w:p>
      <w:r>
        <w:rPr>
          <w:b/>
        </w:rPr>
        <w:t>E. 3</w:t>
      </w:r>
    </w:p>
    <w:p>
      <w:r>
        <w:t>Par convention du 22 juillet 1999, approuvée le 6 août 1999 par la Justice de paix du cercle de Moudon, S.________ a été astreint à payer en faveur de son fils [...], né le [...] 1997, une pension alimentaire – soumise à indexation – de 300 fr. jusqu’à l’âge de 6 ans révolus, de 350 fr. dès lors et jusqu’à l’âge de 12 ans révolus, et de 400 fr. dès lors et jusqu’à sa majorité. Par ailleurs, selon convention d’entretien du 10 janvier 2004, approuvée le 4 février 2004 par la Justice de paix du cercle de Payerne, le prévenu a été astreint à payer en faveur de sa fille [...], née le [...] 2003, une pension alimentaire – soumise à indexation – de 400 fr. jusqu’à l’âge de 5 ans révolus, de 500 fr. dès lors et jusqu’à l’âge de 10 ans révolus, de</w:t>
      </w:r>
    </w:p>
    <w:p>
      <w:r>
        <w:t>- 16 - 600 fr. dès lors et jusqu’à l’âge de 15 ans révolus, et de 700 fr. dès lors et jusqu’à sa majorité. A [...], entre avril 2015 et mai 2019, ainsi qu’en novembre 2019, le prévenu ne s’est pas acquitté des pensions alimentaires dues, alors qu’il en avait ou aurait pu en avoir les moyens, accumulant ainsi un arriéré pénal de 36'824 fr. 69 pour la période incriminée. Le Bureau de recouvrement et d’avances de pensions alimentaires (BRAPA) a déposé plainte et s’est constitué partie civile le 10 avril 2019. En d roit : 1. Interjetés dans les formes et délais légaux (art. 399 CPP), par des parties ayant qualité pour recourir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w:t>
      </w:r>
    </w:p>
    <w:p>
      <w:r>
        <w:t>- 17 - Kommentar, Schweizerische Strafprozessordnung, Jugendstrafprozessordnung, 2e éd., Bâle 2014, n. 1 ad art. 398 CPP).</w:t>
      </w:r>
    </w:p>
    <w:p>
      <w:r>
        <w:rPr>
          <w:b/>
        </w:rPr>
        <w:t>E. 3.1</w:t>
      </w:r>
    </w:p>
    <w:p>
      <w:r>
        <w:t>S.________ conteste l’intégralité des faits retenus à son encontre. Il se plaint d’une violation du principe in dubio pro reo et conclut à sa libération de tout chef d’accusation.</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w:t>
      </w:r>
    </w:p>
    <w:p>
      <w:r>
        <w:t>- 18 - principe in dubio pro reo, celui-ci n'a pas de portée plus large que l'interdiction de l'arbitraire, prohibant une appréciation reposant sur des preuves inadéquates ou sans pertinence (ATF 145 IV 154 consid. 1.1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w:t>
      </w:r>
    </w:p>
    <w:p>
      <w:r>
        <w:rPr>
          <w:b/>
        </w:rPr>
        <w:t>E. 3.3.1</w:t>
      </w:r>
    </w:p>
    <w:p>
      <w:r>
        <w: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 doctrinales citées ; TF 6B_627/2018 du 22 mars 2019 consid. 1.3.5 ; TF 6B_143/2019 du 6 mars 2019 consid. 3.3.1).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TF 6B_143/2019 du 6 mars 2019 consid. 3.3.2). Le juge doit fixer la durée de l'expulsion dans la fourchette prévue de cinq à quinze ans, en tenant compte du principe de la</w:t>
      </w:r>
    </w:p>
    <w:p>
      <w:r>
        <w:t>- 37 -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 Evolutions en 2018, Neuchâtel 2017, p. 149).</w:t>
      </w:r>
    </w:p>
    <w:p>
      <w:r>
        <w:rPr>
          <w:b/>
        </w:rPr>
        <w:t>E. 3.3.2</w:t>
      </w:r>
    </w:p>
    <w:p>
      <w:r>
        <w:t>L’appelant n’attaque pas directement la version de l’enfant, qui constitue pourtant l’élément probatoire central fondant sa culpabilité, mais se concentre sur des aspects plus secondaires. Il relève tout d’abord qu’un intervalle de deux ans et demi sépare ses deux auditions durant l’enquête et que le temps écoulé suffit à expliquer ses contradictions au sujet de l’ouverture du short. En réalité, il n’est pas vraisemblable que la contradiction des versions sur ce point soit due à une mémoire défaillante. En effet, après que la Procureure lui eut relu ses premières déclarations (de 2017) selon lesquelles il avait aidé l’enfant à décrocher son short, l’appelant n’a pas dit qu’il ne se souvenait pas de cet élément (ouverture du vêtement), mais a livré une autre version, insistant sur le fait qu’il était intervenu pour fermer le short. Surtout, l’ouverture du short a revêtu dès le début une grande importance, puisque c’est l’élément qui a déclenché les soupçons de la sœur aînée lorsqu’elle est entrée dans la buanderie et qui a été au cœur des échanges dans la famille et durant l’enquête, davantage encore lorsque l’ADN de l’appelant a été trouvé à l’intérieur du vêtement à un emplacement compatible avec le déshabillage évoqué par l’enfant, si bien que le fait de ne plus se rappeler cet élément capital tout en donnant des versions détaillées antagonistes n’est pas vraisemblable.</w:t>
      </w:r>
    </w:p>
    <w:p>
      <w:r>
        <w:rPr>
          <w:b/>
        </w:rPr>
        <w:t>E. 3.3.3</w:t>
      </w:r>
    </w:p>
    <w:p>
      <w:r>
        <w:t>L’appelant relève ensuite que le jugement est lacunaire lorsqu’il n’évoque pas les deux épisodes où le père de la victime lui a donné des coups de poing dans le ventre lors de leur confrontation juste après les faits et plus tard dans la journée. Ces éléments ont été ajoutés à l’état de fait, puisqu’ils ressortent des déclarations de la victime. Mais on ne peut qu’en déduire que le père de l’enfant a éprouvé de la colère et manifesté de la violence parce qu’il a été immédiatement convaincu de la réalité de l’abus dénoncé par ses filles.</w:t>
      </w:r>
    </w:p>
    <w:p>
      <w:r>
        <w:t>- 22 -</w:t>
      </w:r>
    </w:p>
    <w:p>
      <w:r>
        <w:rPr>
          <w:b/>
        </w:rPr>
        <w:t>E. 3.3.4</w:t>
      </w:r>
    </w:p>
    <w:p>
      <w:r>
        <w:t>L’appelant fait valoir que la déposition du père selon laquelle il lui aurait parlé de l’emplacement dans l’espace et dans le temps du déboutonnage du short de l’enfant, ainsi que de son initiateur (PV aud. 1 p. 2), serait inexacte parce qu’elle n’a pas été corroborée par la mère de la victime, qui a expliqué qu’elle « avai[t] de la peine à parler » (PV aud. 2 p. 2). On ne peut rien tirer de l’affirmation faite par la mère à cet égard, si ce n’est qu’elle a voulu dire par là qu’elle était bouleversée et qu’il fallait se fier aux dires de son mari plutôt qu’aux siens. Aussi, ce propos n’alimente aucun doute sur la déclaration de l’appelant au père, telle que relatée par ce dernier.</w:t>
      </w:r>
    </w:p>
    <w:p>
      <w:r>
        <w:rPr>
          <w:b/>
        </w:rPr>
        <w:t>E. 3.3.5</w:t>
      </w:r>
    </w:p>
    <w:p>
      <w:r>
        <w:t>L’appelant conteste aussi la déclaration de la mère de l’enfant selon laquelle il lui aurait imposé par la force en 2006 ou 2007 une étreinte et des baisers (PV aud. 2 p. 3) pour le motif qu’elle a aussi dit en avoir parlé à sa propre mère et que celle-ci l’a nié (PV aud. 4 p. 4). Peu importe toutefois. D’une part, le jugement ne s’appuie pas sur de tels propos tenus par la mère pour conclure à la culpabilité de l’appelant. D’autre part, la concubine de l’appelant, grand-mère de la victime, a pu nier cette confidence pour privilégier sa relation avec l’appelant, dès lors que sa fille avait aussi parlé de cet épisode à d’autres membres de la famille (PV aud. 1 p. 3) et avait enjoint la sœur aînée de la victime de veiller sur cette dernière de manière générale et notamment lorsque l’appelant était présent (PV aud. 5 p. 3).</w:t>
      </w:r>
    </w:p>
    <w:p>
      <w:r>
        <w:rPr>
          <w:b/>
        </w:rPr>
        <w:t>E. 3.3.6</w:t>
      </w:r>
    </w:p>
    <w:p>
      <w:r>
        <w:t>L’appelant s’offusque de ce que la déclaration de la grand- mère, qui a affirmé qu’elle pensait que les faits ne s’étaient pas passés parce qu’elle n’avait rien vu, qu’il n’y avait pas de précédent et que son concubin n’allait pas « toucher un enfant comme ça » (PV aud. 4 p. 5 in initio), a été écartée par les premiers juges parce que, tiraillée entre son compagnon et sa petite-fille, elle pouvait espérer que les faits dénoncés</w:t>
      </w:r>
    </w:p>
    <w:p>
      <w:r>
        <w:t>- 23 - ne se soient pas produits pour éviter l’implosion de la famille (jugement p. 18). En réalité, il était pertinent de retenir que cette déposante était en proie à un conflit intérieur et qu’elle avait choisi de privilégier ses propres intérêts affectifs au lieu d’adopter une position menant à la rupture avec son concubin. De toute manière, elle n’avait exposé qu’un avis personnel et cette appréciation n’a évidemment pas le même poids que les autres preuves énumérées ci-dessus.</w:t>
      </w:r>
    </w:p>
    <w:p>
      <w:r>
        <w:rPr>
          <w:b/>
        </w:rPr>
        <w:t>E. 3.3.7</w:t>
      </w:r>
    </w:p>
    <w:p>
      <w:r>
        <w:t>Se référant à l’audition de la sœur aînée (PV aud. 5), les premiers juges ont écarté la thèse de l’appelant selon laquelle cette jeune fille serait animée d’une inimitié à son encontre à l’origine de fausses accusations (jugement p. 18). L’appelant souligne qu’il a fait état de cette inimitié lors de sa première audition et que la jeune fille en question avait déjà rapporté faussement à sa grand-mère, pour lui nuire, le fait qu’il aurait embrassé une autre femme à la plage d’ [...] (jugement p. 8). Averti le 2 juillet 2017 du dépôt de la plainte, le prévenu a eu le loisir de réfléchir à la version des faits qu’il a donnée aux enquêteurs lors de son audition du 5 juillet 2017 (PV aud. 3 p. 7) et d’y incorporer des éléments défensifs. Or, il n’a pas fait état d’une haine des enfants à son encontre, mais simplement de remarques pour lui signifier qu’il n’était pas leur grand-père. A l’évidence, les sentiments négatifs qu’il suscitait parfois, de faible intensité, ne permettent pas de comprendre, comme étant leur cause, l’émergence subite et sans événement déclencheur de prétendues fausses accusations sexuelles relayées par les deux enfants durant le paisible après-midi en question. Quant au baiser de la plage, l’appelant a admis qu’il avait plusieurs copines simultanément (jugement p. 8), ce qui rend ce fait plausible.</w:t>
      </w:r>
    </w:p>
    <w:p>
      <w:r>
        <w:rPr>
          <w:b/>
        </w:rPr>
        <w:t>E. 3.3.8</w:t>
      </w:r>
    </w:p>
    <w:p>
      <w:r>
        <w:t>L’appelant se prévaut de ce que son ADN n’a pas été retrouvé sur la culotte de l’enfant et veut en déduire la preuve qu’il n’a pas baissé ce sous-vêtement.</w:t>
      </w:r>
    </w:p>
    <w:p>
      <w:r>
        <w:t>- 24 - Son raisonnement, qui se fonde sur la prémisse que tout contact humain sur un textile laisse nécessairement une trace détectable et exploitable, est évidemment erroné. L’absence de détection n’est pas assimilable à l’inexistence du geste. Il est pour le surplus tout à fait possible qu’en descendant le short de l’enfant, sa culotte ait été baissée en même temps sans être touchée par le prévenu.</w:t>
      </w:r>
    </w:p>
    <w:p>
      <w:r>
        <w:rPr>
          <w:b/>
        </w:rPr>
        <w:t>E. 3.3.9</w:t>
      </w:r>
    </w:p>
    <w:p>
      <w:r>
        <w:t>L’appelant soutient que sa présence dans la buanderie a été trop brève pour accomplir l’abus sexuel qui lui est reproché. Le dossier comporte des témoignages divergents sur la durée du huis clos dans la buanderie : la grand-mère a parlé de 3 à 4 minutes (PV aud. 4 p. 3), alors que la sœur aînée a évoqué environ 15 minutes (PV aud. 5 p. 3). Celle-ci a précisé à cet égard qu’elle avait d’abord cherché sa sœur dans l’appartement avant de prendre les escaliers de l’immeuble pour aller à la buanderie parce que ça faisait long. En fin d’audition, elle a ajouté qu’elle pensait que c’était sa faute, qu’elle aurait dû monter plus vite pour voir ce qui se passait (PV aud. 5 p. 6). Or, d’une part, l’abus, interrompu par l’arrivée de la sœur aînée, pouvait être accompli rapidement ; d’autre part, les indications temporelles données par la sœur aînée paraissent plus fiables que celles fournies par la grand-mère, car la première s’est inquiétée de l’absence prolongée de l’enfant et l’a cherchée jusqu’à ce qu’elle la trouve.</w:t>
      </w:r>
    </w:p>
    <w:p>
      <w:r>
        <w:rPr>
          <w:b/>
        </w:rPr>
        <w:t>E. 3.3.10</w:t>
      </w:r>
    </w:p>
    <w:p>
      <w:r>
        <w:t>L’appelant relève encore que l’enfant l’a accompagné spontanément à la buanderie, ce que la grand-mère confirme. Il en tire qu’il ne l’a pas attirée dans un huis clos pour abuser d’elle. Toutefois, ce défaut de planification n’exclut pas qu’il n’a pas profité du huis clos pour assouvir une pulsion sexuelle sur l’enfant allongée au sol.</w:t>
      </w:r>
    </w:p>
    <w:p>
      <w:r>
        <w:rPr>
          <w:b/>
        </w:rPr>
        <w:t>E. 3.3.11</w:t>
      </w:r>
    </w:p>
    <w:p>
      <w:r>
        <w:t>En définitive, les objections avancées par l’appelant ne suscitent aucun doute sur la réalisation des faits punissables.</w:t>
      </w:r>
    </w:p>
    <w:p>
      <w:r>
        <w:t>- 25 -</w:t>
      </w:r>
    </w:p>
    <w:p>
      <w:r>
        <w:rPr>
          <w:b/>
        </w:rPr>
        <w:t>E. 4.1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w:t>
      </w:r>
    </w:p>
    <w:p>
      <w:r>
        <w:rPr>
          <w:b/>
        </w:rPr>
        <w:t>E. 4.2</w:t>
      </w:r>
    </w:p>
    <w:p>
      <w:r>
        <w:t>En l’espèce, le fait de caresser – même brièvement – le sexe de l’enfant réalise incontestablement l’infraction prévue à l’art. 187 CP, les actes ayant par ailleurs été commis avec conscience et volonté.</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t>- 33 -</w:t>
      </w:r>
    </w:p>
    <w:p>
      <w:r>
        <w:rPr>
          <w:b/>
        </w:rPr>
        <w:t>E. 4.3.1</w:t>
      </w:r>
    </w:p>
    <w:p>
      <w:r>
        <w:t>Le jugement, tout comme l’acte d’accusation, n’envisage la réalisation en concours idéal que de la contrainte sexuelle et non du crime d’actes d’ordre sexuels commis sur une personne incapable de discernement ou de résistance (art. 191 CP).</w:t>
      </w:r>
    </w:p>
    <w:p>
      <w:r>
        <w:t>- 26 -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comme dans le cas du brigandage (art. 140 ch. 1 al. 1 CP), l'emploi volontaire de la force physique sur la personne de la victime dans le but de la faire céder (ATF 122 IV 97 consid. 2b p. 100). Elle suppose une application de la force physique plus intense que ne l'exige l'accomplissement de l'acte dans les circonstances ordinaires de la vie (ATF 87 IV 66 consid. 1 p. 68). Un emploi limité de force peut suffire (TF 6B_570/2012 du 26 novembre 2012 consid. 1.2). L’arrêt du Tribunal fédéral 6B_146/2020 du 5 mai 2020 comporte à son considérant 2.1 les passages suivants : « Dans un arrêt récent destiné à la publication, le Tribunal fédéral a précisé la jurisprudence relative aux contraintes sexuelles commises par un auteur dans son proche entourage social, en particulier dans le cadre familial (TF 6B_1265/2019 du 9 avril 2020 [ndr : soit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(arrêt 6B_1265/2019 du 9 avril 2020 consid. 3.5.5 destiné à la publication). Plus l'enfant est jeune, moins les exigences en matière de pressions psychiques sont élevées (arrêt 6B_1265/2019 du 9 avril 2020 consid. 3.3.3 et 3.5.7 destiné à la publication; cf. arrêt 6B_216/2017 du 11 juillet 2017 consid. 1.4.1). Selon les circonstances, une menace ou l'ordre explicite à l'enfant de se taire n'est pas nécessaire pour admettre l'usage de la contrainte (arrêt 6B_1265/2019 du 9 avril 2020 consid. 3.6.1 destiné à la publication). Dans le cas particulier, le Tribunal fédéral a conclu qu'au vu notamment de l'âge de la victime au moment des faits (entre ses 8 et 10</w:t>
      </w:r>
    </w:p>
    <w:p>
      <w:r>
        <w:t>- 27 - ans), de l'influence qu'exerçait le beau-père qui bénéficiait d'une totale confiance, de la relation étroite entre les protagonistes et du lieu et de la manière dont les événements se sont déroulés (domicile familial, injonction au silence), on ne pouvait attendre de la victime qu'elle s'oppose aux abus, dès lors qu'elle se trouvait dans une situation sans issue (arrêt 6B_1265/2019 du 9 avril 2020 consid. 3.6 destiné à la publication). »</w:t>
      </w:r>
    </w:p>
    <w:p>
      <w:r>
        <w:rPr>
          <w:b/>
        </w:rPr>
        <w:t>E. 4.3.2</w:t>
      </w:r>
    </w:p>
    <w:p>
      <w:r>
        <w:t>En l’espèce, l’enfant victime âgée de 6,5 ans avait une certaine capacité de discernement en matière sexuelle puisqu’elle a déclaré avoir senti que ça n’était « pas bien de faire ça » et qu’elle « n’aimai[t] pas quand il [lui] faisait ça » (P. 12 p. 3). L’auteur a usé aussi bien de contrainte physique en l’immobilisant sous son corps que de contrainte psychique au vu des précisions jurisprudentielles qui précèdent, tant il est patent que l’on ne pouvait s’attendre à ce que l’enfant s’oppose aux actes en question, au vu de son âge, de sa situation familiale, de sa proximité avec le prévenu, âgé de 57 ans et qui était le compagnon de sa grand-mère maternelle, et de la manière dont ces actes ont été commis.</w:t>
      </w:r>
    </w:p>
    <w:p>
      <w:r>
        <w:rPr>
          <w:b/>
        </w:rPr>
        <w:t>E. 4.4</w:t>
      </w:r>
    </w:p>
    <w:p>
      <w:r>
        <w:t>Il s’ensuit que le prévenu doit être condamné pour d’actes d’ordre sexuel avec des enfants et contrainte sexuelle, en concours idéal.</w:t>
      </w:r>
    </w:p>
    <w:p>
      <w:r>
        <w:rPr>
          <w:b/>
        </w:rPr>
        <w:t>E. 5.1</w:t>
      </w:r>
    </w:p>
    <w:p>
      <w:r>
        <w:t>L’appelant conteste également sa condamnation pour violation d’une obligation d’entretien.</w:t>
      </w:r>
    </w:p>
    <w:p>
      <w:r>
        <w:rPr>
          <w:b/>
        </w:rPr>
        <w:t>E. 5.2</w:t>
      </w:r>
    </w:p>
    <w:p>
      <w:r>
        <w:t>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w:t>
      </w:r>
    </w:p>
    <w:p>
      <w:r>
        <w:t>- 28 - vertu du droit de la famille ;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 RS 281.1] ; ATF 121 IV 272 consid. 3c, JdT 1997 IV 66). Selon la jurisprudence, il n’est pas nécessaire que le débiteur ait eu les moyens de fournir entièrement sa prestation ; il suffit qu’il ait pu fournir plus qu’il ne l’a fait et qu’il ait, dans cette mesure, violé son obligation d’entretien (ATF 114 IV 124 consid. 3b, JdT 1989 IV 103). Le juge pénal est lié par la contribution d’entretien fixée par le juge civil (ATF 106 IV 36 ; TF 6B_1017/2016 du 10 juillet 2017 consid. 2.2 ; TF 6B_264/2011 du 19 juillet 2011 consid. 2.1.3).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6B_573/2013 du 1er octobre 2013 consid. 1.1 ; TF 6B_264/2011 du 19 juillet 2011 consid. 2.1.3). Du point de vue subjectif, l’infraction est intentionnelle ; le dol éventuel suffit (ATF 76 IV 109 consid. 5 ; TF 6B_514/2011 du 26 octobre 2011 consid. 1.3.1).</w:t>
      </w:r>
    </w:p>
    <w:p>
      <w:r>
        <w:rPr>
          <w:b/>
        </w:rPr>
        <w:t>E. 5.3</w:t>
      </w:r>
    </w:p>
    <w:p>
      <w:r>
        <w:t>En l’espèce, les premiers juges ont retenu que le prévenu était coupable du délit de l’art. 217 CP en ne payant rien de ses dettes</w:t>
      </w:r>
    </w:p>
    <w:p>
      <w:r>
        <w:t>- 29 - d’entretien alors qu’il réalisait un gain mensuel moyen de 3'000 fr. comme monteur en échafaudages et n’avait que son entretien de 1'200 fr. comme charge (jugement p. 21). L’appelant objecte que ses charges et son revenu n’ont pas été établis correctement dès lors que les juges se sont fondés sur ses propres déclarations (jugement p. 9) pour faire des moyennes et que ce doute sur l’élément objectif de l’infraction qu’est la capacité de payer du débiteur d’entretien doit entraîner son acquittement. Le grief est difficilement compréhensible. L’appelant a été entendu deux fois durant l’enquête (dossier B) et encore à l’audience. Par le passé, il a déjà été condamné à trois reprises pour cette infraction. Durant les 4 ans visés par l’accusation, il a vécu de son travail en n’assumant pratiquement aucune charge, si ce n’est son propre entretien. Sa facilité à travailler résulte de sa certitude affichée de pouvoir travailler immédiatement à sa sortie de prison (jugement p. 9 in fine). S’il donnait parfois un peu d’argent à sa concubine qui l’hébergeait gratuitement, cela entre dans son entretien estimé selon les normes du droit des poursuites. Quant au montant qu’il prétend avoir payé à son ancien colocataire [...] lorsqu’il travaillait, il ressort de son audition du 14 mai 2019 que cela n’est arrivé que « deux trois fois en 2018 » et « une fois depuis le début de l’année 2019 » (Dossier B, PV aud 2, lignes 76 à 78), alors qu’il a expliqué avoir travaillé, durant la période incriminée, environ huit mois par année pour un salaire mensuel net moyen de 3'600 fr. (jugement p. 9). On relèvera en outre que le prévenu a lui-même admis avoir fait « l’erreur (…) de ne rien payer du tout » alors qu’il aurait pu « payer même un petit peu » (Dossier B, PV aud. 2, lignes 89 à 91). Durant la période considérée, le prévenu avait donc manifestement les moyens d’assumer, ne serait-ce qu'en partie, ses obligations familiales. Partant, les conditions de l’art. 217 CP sont réalisées et la condamnation de l’appelant pour violation d’une obligation d’entretien doit être confirmée.</w:t>
      </w:r>
    </w:p>
    <w:p>
      <w:r>
        <w:t>- 30 -</w:t>
      </w:r>
    </w:p>
    <w:p>
      <w:r>
        <w:rPr>
          <w:b/>
        </w:rPr>
        <w:t>E. 6.1</w:t>
      </w:r>
    </w:p>
    <w:p>
      <w:r>
        <w:t>S.________ ne formule aucun moyen spécifique en lien avec la fixation de la peine opérée par les premiers juges, dès lors qu’il conclut à son acquittement. Dans son appel, le Ministère public conclut à la condamnation de S.________ à une peine privative de liberté ferme de 30 mois, sous déduction de la détention avant jugement. La Procureure met notamment en évidence, s’agissant des infractions sexuelles commises sur R.________, la lourde culpabilité du prévenu, le discrédit que celui-ci a jeté sur l’entier de la famille de la victime, ses dénégations, son absence totale d’empathie, les liens « familiaux » qui l’unissaient à l’enfant, ainsi que le concours d’infractions et l’absence d’éléments à décharge. Par ailleurs, les facteurs de mauvais pronostic seraient significatifs, de sorte qu’on ne saurait assortir la peine d’un sursis partiel.</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- 31 -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t>- 32 -</w:t>
      </w:r>
    </w:p>
    <w:p>
      <w:r>
        <w:rPr>
          <w:b/>
        </w:rPr>
        <w:t>E. 6.2.3</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6.3</w:t>
      </w:r>
    </w:p>
    <w:p>
      <w:r>
        <w:t>En l’espèce, la Cour de céans considère, avec les premiers juges, que la culpabilité de S.________ est lourde. Il a en effet commis des crimes au préjudice d’une enfant de 6 ans et demi. Il s’en est ainsi pris à un bien juridiquement protégé de haute valeur, à savoir l’intégrité sexuelle de la petite-fille de sa compagne, profitant de leur proximité et du lien de confiance qui les unissait. Les actes sont graves, puisqu’il a agi dans le seul but d’assouvir ses pulsions, en exerçant une forme de pression psychologique sur l’enfant en lui imposant le silence puis en l’enjoignant de ne rien dire à personne. Le prévenu a démontré une absence totale d’empathie et une incapacité à prendre conscience de la gravité de ses actes puisqu’il a persévéré dans ses dénégations, n’hésitant pas à discréditer la famille de la victime, accusant celle-ci ainsi que sa sœur de vouloir l’éloigner d’eux pour des raisons qu’il n’a pas été en mesure d’expliquer clairement. Enfin, on ne décèle aucun élément à décharge, le prévenu n’ayant cessé ses agissements qu’après l’irruption d’un tiers sur les lieux. Concernant l’infraction de violation d’une obligation d’entretien, on retiendra, avec le tribunal, le choix délibéré du prévenu de favoriser de prétendus créanciers, son détachement face à ses obligations familiales et ses antécédents. La Cour de céans fait donc sienne la motivation complète et convaincante des premiers juges conduisant à condamner l'appelant à 12 mois de peine privative de liberté, soit 7 mois pour l’infraction la plus grave, à savoir la contrainte sexuelle, augmentés de 5 mois pour l’infraction d’actes d’ordre sexuel avec des enfants, afin de sanctionner un épisode relativement bref d’attouchements à même le sexe d’une très jeune enfant. Il se justifie également de majorer la peine punissant ces actes de 6 mois de privation de liberté pour la longue et récidivante violation de l’obligation d’entretien, le prévenu ayant été condamné pour cette infraction la dernière fois à 140 jours de privation de liberté sans que cela ne le dissuade de poursuivre dans ses agissements. En définitive, la peine privative de liberté de 18 mois prononcée par les premiers juges</w:t>
      </w:r>
    </w:p>
    <w:p>
      <w:r>
        <w:t>- 34 - pour sanctionner les infractions aux art. 187 ch. 1, 189 al. 1 et 217 CP commises par l’appelant doit être confirmée. La Cour de céans considère que quand bien même le prévenu n’a pas été condamné auparavant pour des infractions sexuelles sur enfant, le pronostic est défavorable au vu de l’indifférence manifestée à sa victime, de l’absence de remord et de prise de conscience, l’intéressé persistant à contester – malgré les éléments évidents – les faits qui lui sont reprochés dans le cadre de la présente procédure. A cela s’ajoute qu’il ne s’est pas contenté de nier par peur de la sanction ou par crainte que sa réputation auprès de sa compagne et de la famille de cette dernière soit compromise, mais il a consciemment tenté d’induire la justice en erreur, en rejetant la faute sur sa victime et sa sœur aînée qu’il a traitées de menteuses et qu’il a présentées comme voulant l’éloigner de sa compagne au travers de fausses accusations. L’appelant a ainsi démontré une absence particulière de scrupules, qui ne permet pas d’espérer qu’une peine avec sursis – même partiel – suffira à le détourner durablement de la délinquance (cf. Dupuis et alii, Petit commentaire du Code pénal, 2e éd., Bâle 2017, n. 13 ad art. 42 CP), étant par ailleurs relevé qu’en matière de violation d’une obligation d’entretien, l’intéressé en est à sa quatrième condamnation. Les conditions d’octroi du sursis – même partiel – ne sont donc pas réalisées, de sorte que c’est une peine de 18 mois fermes qui doit être prononcée. Le jugement sera donc réformé en ce sens aux chiffres III et VI de son dispositif.</w:t>
      </w:r>
    </w:p>
    <w:p>
      <w:r>
        <w:rPr>
          <w:b/>
        </w:rPr>
        <w:t>E. 7.1</w:t>
      </w:r>
    </w:p>
    <w:p>
      <w:r>
        <w:t>L'appelant conteste son expulsion uniquement dans la mesure où il conclut à son acquittement des chefs d’accusation d’actes d’ordre sexuel avec des enfants et contrainte sexuelle.</w:t>
      </w:r>
    </w:p>
    <w:p>
      <w:r>
        <w:t>- 35 -</w:t>
      </w:r>
    </w:p>
    <w:p>
      <w:r>
        <w:rPr>
          <w:b/>
        </w:rPr>
        <w:t>E. 7.2</w:t>
      </w:r>
    </w:p>
    <w:p>
      <w:r>
        <w:t>Selon l'art. 66a al. 1 CP, le juge expulse de Suisse l'étranger qui est condamné pour l'une des infractions énumérées.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6B_143/2019 du 6 mars 2019 consid. 3.3.1 ; TF 6B_724/2018 du 30 octobre 2018 consid.</w:t>
      </w:r>
    </w:p>
    <w:p>
      <w:r>
        <w:rPr>
          <w:b/>
        </w:rPr>
        <w:t>E. 7.3</w:t>
      </w:r>
    </w:p>
    <w:p>
      <w:r>
        <w:t>En l’espèce, la condamnation de S.________ pour actes d’ordre sexuels avec des enfants et contrainte sexuelle est confirmée, de sorte qu’on se trouve dans un cas d’expulsion obligatoire (art. 66 a al. 1 let. h CP). L'intérêt public à son expulsion est important. L’appelant ne peut en outre pas se prévaloir d'une intégration particulièrement réussie en Suisse. Même s'il y réside depuis 32 ans et est au bénéfice d’une autorisation d’établissement (permis C), il n'est pas né dans ce pays et a suivi sa scolarité au Cap-Vert, où il a habité jusqu'à ses 22 ans. Malgré un long séjour dans notre pays, il parle mal le français et, selon ses dires, « le lit encore moins bien » (recours, p. 10, ch. 14). On relèvera en outre ses difficultés d’adaptation économiques, le prévenu, qui n’a aucune formation spécifique, faisant l’objet de poursuites à hauteur de plus de 350'000 fr., ce qui démontre une très faible intégration en Suisse, où – en plus de ne pas s’acquitter des pensions dues en faveur de ses enfants depuis plusieurs années – il ne paie ni impôts ni assurance-maladie. Enfin et surtout, s’agissant des crimes qui lui sont reprochés, son absence totale de prise de conscience fait craindre un risque de récidive. Certes, l’appelant a quatre enfants dans notre pays, dont deux sont majeurs, mais il n’a aucun contact avec deux d’entre eux et uniquement des contacts épisodiques avec les deux autres, dont une seule est mineure (17 ans). En revanche, il a admis rendre régulièrement</w:t>
      </w:r>
    </w:p>
    <w:p>
      <w:r>
        <w:t>- 38 - visite à ses deux autres enfants majeurs qui vivent au Cap-Vert, où ceux-ci sont propriétaires d’une maison. L’intéressé a donc conservé des liens importants dans son pays d’origine, où résident également des frères et sœurs, avec lesquels il a régulièrement des contacts. De toute manière, même au Cap-Vert, il pourra communiquer avec ses enfants en Suisse par les moyens techniques modernes. Le fait que l’appelant, âgé de 60 ans, puisse percevoir, dans quelques années, une rente AVS en Suisse et pas au Cap-Vert selon ses déclarations n’empêche pas son expulsion. Dans de telles circonstances, la situation personnelle de l’appelant ne saurait faire obstacle à son expulsion. Au vu de l'ensemble des éléments qui précèdent, force est de constater que l'intérêt public à l'expulsion de S.________ l'emporte manifestement sur l'intérêt privé de celui-ci à demeurer en Suisse. Cette mesure doit donc être confirmée, tout comme sa durée fixée à 8 ans, qui se révèle parfaitement proportionnée.</w:t>
      </w:r>
    </w:p>
    <w:p>
      <w:r>
        <w:rPr>
          <w:b/>
        </w:rPr>
        <w:t>E. 8.1</w:t>
      </w:r>
    </w:p>
    <w:p>
      <w:r>
        <w:t>En définitive, l'appel de S.________ doit être rejeté. Quant à l’appel du Ministère public, il sera partiellement admis dans le sens des considérants.</w:t>
      </w:r>
    </w:p>
    <w:p>
      <w:r>
        <w:rPr>
          <w:b/>
        </w:rPr>
        <w:t>E. 8.2</w:t>
      </w:r>
    </w:p>
    <w:p>
      <w:r>
        <w:t>Sur la liste des opérations produites (P. 63), Me Pierre-Yves Court, défenseur d’office de S.________, mentionne 17h d’activité. Il convient toutefois de retrancher 2h aux 8h45 consacrées à la déclaration d’appel, cette durée apparaissant excessive compte tenu de la connaissance du dossier acquise en première instance par l'avocat. Il faut en outre tenir compte de la durée de l'audience d'appel, soit 1h30. C'est ainsi une indemnité de 3'631 fr. 30, correspondant à 15h45 d'activité d'avocat à 180 fr. de l’heure, 480 fr. de vacations, 56 fr. 70 de débours (2% des honoraires) et 259 fr. 60 de TVA, qui doit être allouée à Me Pierre- Yves Court pour la procédure d’appel. Vu le sort des appels respectifs, l’émolument d’arrêt, par 3'780 fr. (art. 21 al. 1 et 2 TFIP [Tarif des frais de procédure et indemnités en</w:t>
      </w:r>
    </w:p>
    <w:p>
      <w:r>
        <w:t>- 39 - matière pénale du 28 septembre 2010; RSV 312.03.1]), ainsi que l’indemnité allouée au défenseur d’office de l’appelant, par 3'631 fr. 30, TVA et débours inclus, doivent être mis par trois quarts à la charge de S.________ (art. 428 al. 1 CPP), le solde étant laissé à la charge de l'Etat. Le remboursement à l'Etat des trois quarts de l’indemnité d'office ne sera exigible que pour autant que la situation économique de S.________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