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PE17.012371 vom 13. Mai 2019</w:t>
      </w:r>
    </w:p>
    <w:p>
      <w:r>
        <w:t>VD Tribunal cantonal, 2019-05-13, FR</w:t>
      </w:r>
    </w:p>
    <w:p>
      <w:r>
        <w:rPr>
          <w:b/>
        </w:rPr>
        <w:t xml:space="preserve">Quelle: </w:t>
      </w:r>
      <w:r>
        <w:t>https://mcp.opencaselaw.ch/entscheid/vd_gerichte_PE17.012371</w:t>
      </w:r>
    </w:p>
    <w:p>
      <w:r>
        <w:t>FR: VD_GERICHTE PE17.012371 du 13 mai 2019</w:t>
      </w:r>
    </w:p>
    <w:p>
      <w:r>
        <w:t>IT: VD_GERICHTE PE17.012371 del 13 maggio 2019</w:t>
      </w:r>
    </w:p>
    <w:p>
      <w:pPr>
        <w:pStyle w:val="Heading2"/>
      </w:pPr>
      <w:r>
        <w:t>Erwägungen</w:t>
      </w:r>
    </w:p>
    <w:p>
      <w:r>
        <w:rPr>
          <w:b/>
        </w:rPr>
        <w:t>E. 5.1</w:t>
      </w:r>
    </w:p>
    <w:p>
      <w:r>
        <w:t>Invoquant une constatation incomplète ou erronée des faits, l’appelante conteste sa condamnation pour faux dans les titres. Elle soutient en substance que A.H.________ représentait l’ensemble des membres de la famille, qu’il lui avait donné son accord pour la conclusion des nouveaux contrats d’assurance auprès de la X.________ ainsi que pour la résiliation de leurs anciens contrats, qu’elle estimait dès lors être autorisée à compléter les propositions d’assurance en y apposant elle- même la signature des intéressées, et à par ailleurs signer elle-même la lettre de résiliation des anciens contrats d’assurance conclus auprès du G.________. Elle en conclut que l’infraction de faux dans les titres n’est pas réalisée.</w:t>
      </w:r>
    </w:p>
    <w:p>
      <w:r>
        <w:t>- 18 -</w:t>
      </w:r>
    </w:p>
    <w:p>
      <w:r>
        <w:rPr>
          <w:b/>
        </w:rPr>
        <w:t>E. 5.1.3</w:t>
      </w:r>
    </w:p>
    <w:p>
      <w:r>
        <w:t>Selon l'art. 13 al. 1 CP,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(cf. ATF 129 IV 238 consid. 3.1, JdT 2005 IV 87 ; TF 6B_1012/2017 du 23 mars 2018 consid. 2.1 ; TF 6B_220/2015 du 10 février 2016 consid. 3.4.1).</w:t>
      </w:r>
    </w:p>
    <w:p>
      <w:r>
        <w:rPr>
          <w:b/>
        </w:rPr>
        <w:t>E. 5.2</w:t>
      </w:r>
    </w:p>
    <w:p>
      <w:r>
        <w:t>En l’espèce, et comme déjà évoqué ci-dessus (cf. consid. 3.3), l’appelante a admis, lors de son audition par la Procureure, qu’après avoir quitté le domicile de la famille de A.H.________, elle avait constaté qu’il manquait des signatures sur les documents qu’elle dit leur avoir soumis et qu’elle avait dès lors elle-même apposé la signature de B.H.________, D.H.________ et C.H.________ sur les propositions d’assurance qui les concernaient (PV aud. 1, annexes 4, 5 et 6), ainsi que la signature de A.H.________ et B.H.________ sur la lettre de résiliation des anciennes polices d’assurance des quatre membres de la famille (PV aud. 3, ll. 44 ss et 69 ss). L’appelante soutient toutefois que A.H.________ agissait en qualité de représentant de tous les membres de sa famille et que dans la mesure où celui-ci lui avait donné son accord pour conclure de nouveaux</w:t>
      </w:r>
    </w:p>
    <w:p>
      <w:r>
        <w:t>- 22 - contrats d’assurance et pour résilier les anciens contrats, elle pensait être au bénéfice des pouvoirs nécessaires pour procéder de la sorte. A cet égard, A.H.________ a effectivement admis que sa discussion avec l’appelante avait bien concerné les quatre membres de sa famille (Jugement p. 7). Il a également reconnu qu’il avait adhéré à la proposition qui lui était soumise par l’appelante dans la mesure où « les prix étaient moins chers » (Jugement p. 6). A.H.________ a finalement admis avoir lui- même signé une proposition d’assurances le concernant auprès de la X.________ (Jugement p. 5). On a par ailleurs vu (cf. consid. 3.3 ci-dessus) que A.H.________ avait finalement reconnu avoir signé les propositions d’assurance qui concernaient ses deux filles C.H.________ et D.H.________. Au vu de ce qui précède, on peut considérer que A.H.________ s’est proba- blement présenté à l’appelante comme le représentant de tous les membres de sa famille, qu’il a accepté que tous changent d’assurance maladie et qu’il a concrètement manifesté cette volonté en signant trois nouvelles propositions d’assurance. On ne peut en revanche pas en déduire que, ce faisant, A.H.________ aurait simultanément autorisé l’appelante à faire usage de sa signature ainsi que de celles de sa femme et de ses deux filles. Accepter de changer d’assurance et signer une partie des documents nécessaires n’autorise naturellement pas le courtier concerné à ensuite utiliser à sa guise les différentes signatures des intéressés. On ne voit par ailleurs pas ce qui pouvait honnêtement conduire l’appelante à imaginer le contraire. Il s’ensuit qu’en apposant elle-même la signature des plaignants B.H.________, C.H.________ et D.H.________ sur trois propositions d’assurances et la signature de A.H.________ et B.H.________ sur la lettre de résiliation destinée à l’ancien assureur de la famille A.H.________, soit sur des documents dont la qualité de titre au sens de l’art. 110 al. 4 CP n’est pas contestable – ni contestée d’ailleurs –, l’appelante a bien intentionnellement créé un faux matériel. Lors de son audition devant la Procureure, l’appelante a en outre déclaré qu’elle avait agi de la sorte pour éviter que les documents soient incomplets et qu’ils ne soient pas acceptés (PV aud. 3, ll. 91 ss.). On comprend qu’elle voulait ainsi s’assurer que les nouvelles polices d’assurances de la famille A.H.________ puissent</w:t>
      </w:r>
    </w:p>
    <w:p>
      <w:r>
        <w:t>- 23 - être conclues, condition sine qua non au versement de sa commission. L’appelante avait donc manifestement l’intention d’obtenir le versement d’une prétention, peut-être légitime, mais au moyen d'un titre faux. Il s’ensuit que le dessein spécial prévu à l’art. 251 ch. 1 CP est également réalisé. Au vu de ce qui précède, la condamnation de l’appelante pour faux dans les titres doit être confirmée.</w:t>
      </w:r>
    </w:p>
    <w:p>
      <w:r>
        <w:rPr>
          <w:b/>
        </w:rPr>
        <w:t>E. 5.2.1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w:t>
      </w:r>
    </w:p>
    <w:p>
      <w:r>
        <w:t>- 19 -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144 IV 345 consid. 2.2.3.3 ; ATF 143 IV 500 consid. 1.1 ; ATF 138 V 74 consid. 7 ; TF 6B_1283/2018 du 14 février 2019 consid. 1.2).</w:t>
      </w:r>
    </w:p>
    <w:p>
      <w:r>
        <w:rPr>
          <w:b/>
        </w:rPr>
        <w:t>E. 5.2.2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nn. 20 et 27 ad art. 251 CP).</w:t>
      </w:r>
    </w:p>
    <w:p>
      <w:r>
        <w:t>- 20 -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faussaire crée un titre qui trompe sur l'identité de celui dont il émane en réalité. En principe, il importe peu que le nom utilisé soit connu, appartienne à un tiers, soit fictif, que le faussaire se soit déjà fait connaître, avant la signature du titre, sous son faux nom auprès de la partie adverse ou qu'il le signe en présence de cette dernière (TF 6B_114/2013 du 1er juillet 2013 consid. 5.1; ATF 132 IV 57 consid. 5.1.1; ATF 128 IV 265 consid. 1.1.1 et les réf. citées). Il est également sans importance de savoir si le contenu d'un tel titre est mensonger ou non (ATF 123 IV 17 consid. 2).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(ATF 128 IV 265 consid. 1.1.2 et 1.1.3 et les réf. citées). Du point de vue subjectif, le faux dans les titres est une infraction intentionnelle. L'intention doit porter sur tous les éléments constitutifs de l'infraction, le dol éventuel étant suffisant. De surcroît, l'art. 251 CP exige un dessein spécial, à savoir que l'auteur agisse afin de porter atteinte aux intérêts pécuniaires ou aux droits d'autrui ou de se procurer ou de procurer à un tiers un avantage illicite (TF 6B_891/2018 du 31 octobre 2018 consid. 3.5.1). La notion d'avantage illicite est très large. Elle vise toute type d'avantage, d'ordre matériel ou immatériel, qui peut être destiné à l'auteur lui-même ou à un tiers (ATF 129 IV 53 consid. 3.5 p. 60; TF 6B_891/2018 du 31 octobre 2018 consid. 3.5.1 ; TF 6B_116/2017 du 9 juin 2017 consid. 2.2.3). Le caractère illicite de l'avantage peut découler</w:t>
      </w:r>
    </w:p>
    <w:p>
      <w:r>
        <w:t>- 21 - du droit suisse ou du droit étranger (Trechsel/Erni, Schweizerisches Strafgesetzbuch, Praxiskommentar, Trechsel/Pieth [éd.], 3e éd., 2018, n° 16 ad art. 251 CP) et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pp. 270 ss; TF 6B_891/2018 du 31 octobre 2018 consid. 3.5.1 ; TF 6B_116/2017 précité consid. 2.2.3).</w:t>
      </w:r>
    </w:p>
    <w:p>
      <w:r>
        <w:rPr>
          <w:b/>
        </w:rPr>
        <w:t>E. 6.1</w:t>
      </w:r>
    </w:p>
    <w:p>
      <w:r>
        <w:t>L’appelante, qui conclut à son acquittement, ne conteste pas la quotité de la peine en tant que telle. L’abandon du chef d’accusation d’escroquerie justifie toutefois que les peines de 80 jours-amende et de 300 fr. d’amende soient réexaminées d’office.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- 24 - pénale (ATF 142 IV 137 consid. 9.1 ; ATF 141 IV 61 consid. 6.1.1 et les réf. citées ; TF 6B_654/2018 du 5 septembre 2018 consid. 3.1).</w:t>
      </w:r>
    </w:p>
    <w:p>
      <w:r>
        <w:rPr>
          <w:b/>
        </w:rPr>
        <w:t>E. 6.2.2</w:t>
      </w:r>
    </w:p>
    <w:p>
      <w:r>
        <w:t>L’infraction de faux dans les titres est sanctionnée d’une peine privative de liberté de cinq ans au plus ou d’une peine pécuniaire (art. 251 CPP) L’art. 34 CP, dans sa formulation en vigueur avant le 1er janvier 2018,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L’art. 34 CP a été modifié avec effet au 1er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L’ancien art. 34 al. 2 CP n’étant pas plus favorable à la prévenue s’agissant du calcul du jour-amende, le nouveau droit doit être appliqué (cf. art. 2 al. 2 CP).</w:t>
      </w:r>
    </w:p>
    <w:p>
      <w:r>
        <w:t>- 25 - Pour déterminer le montant du jour-amende, le juge se fonde en premier lieu sur le revenu de l’auteur au moment du jugement, en prenant en compte les revenus en tous genres et de n’importe quelle source. Le juge se référera aux critères élaborés en droit de la famille. Entrent ainsi en considération le salaire, le revenu de l’activité indépendante, les gratifications, les rentes, les pensions, l’aide sociale, la fortune immobilière, les titres et autres placements de capitaux ainsi que les prestations en nature, telles que le loyer directement payé par les autorités en charge de l’aide sociale. Le juge peut également se fonder sur le revenu moyen de l’auteur, lorsque les revenus sont irréguliers. Si l’auteur renonce volontairement à travailler ou à être mieux rémunéré, le juge prend en considération le revenu présumé que l’on est en droit d’attendre de l’auteur ou celui qu’il réalisait avant l’infraction (Dupuis et alii, Petit commentaire, Code pénal, 2e éd., Bâle 2017, n. 18 ad art. 34 CP et les références citées).</w:t>
      </w:r>
    </w:p>
    <w:p>
      <w:r>
        <w:rPr>
          <w:b/>
        </w:rPr>
        <w:t>E. 6.2.3</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Selon l'art. 44 al. 1 CP, si le juge suspend totalement ou partiellement l’exécution d’une peine, il impartit au condamné un délai d’épreuve de deux à cinq ans.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t>- 26 -</w:t>
      </w:r>
    </w:p>
    <w:p>
      <w:r>
        <w:rPr>
          <w:b/>
        </w:rPr>
        <w:t>E. 6.3</w:t>
      </w:r>
    </w:p>
    <w:p>
      <w:r>
        <w:t>En l’espèce, la seule infraction à réprimer est celle de faux dans les titres. La culpabilité de la prévenue est légère. Elle s’est certes arrogée sans vergogne un droit qui ne lui avait manifestement pas été octroyé par les plaignants dans le but de préserver ses intérêts financiers en touchant la commission qui devait lui revenir pour la conclusion de nouveaux contrats d’assurances. Toutefois, les plaignants n’ont en définitive subi aucun dommage financier. A décharge, on retiendra également que passé sa première audition, la prévenue s’est expliquée et n’a en particulier pas caché avoir elle-même signé une partie des documents litigieux. La prévenue n’ayant pas d’antécédent, une peine pécuniaire suffit. Au vu de ce qui précède, cette peine doit être arrêtée à 60 jours- amende. Le montant du jour-amende doit être fixé à 10 fr. pour tenir compte de la situation économique de la prévenue qui est sans activité lucrative et qui ne perçoit aucun revenu. Le pronostic n’est pas défavorable, de sorte que les conditions à l’octroi du sursis sont réalisées. Le délai d’épreuve assortissant le sursis sera arrêté au minimum légal de deux ans (art. 44 al. 1 CP). Le jugement sera modifié dans cette mesure au chiffre II de son dispositif. Si l’amende n’est pas contestée en tant que telle par l’appelante, elle n’apparaît néanmoins pas justifiée à titre de sanction immédiate, de sorte qu’elle doit être supprimée et le jugement entrepris modifié dans ce sens.</w:t>
      </w:r>
    </w:p>
    <w:p>
      <w:r>
        <w:rPr>
          <w:b/>
        </w:rPr>
        <w:t>E. 7.1</w:t>
      </w:r>
    </w:p>
    <w:p>
      <w:r>
        <w:t>L’appelante conclut à ce que les frais de première instance soient intégralement laissés à la charge de l’Etat. L’abandon d’un des deux chefs d’accusation pour lesquels la prévenue était renvoyée devant le Tribunal de police justifie que les frais de première instance ne soient mis à la charge de la prévenue qu’à raison de la moitié, soit 450 fr., et le solde laissé à la charge de l’Etat. Le jugement entrepris doit être modifié dans ce sens.</w:t>
      </w:r>
    </w:p>
    <w:p>
      <w:r>
        <w:t>- 27 -</w:t>
      </w:r>
    </w:p>
    <w:p>
      <w:r>
        <w:rPr>
          <w:b/>
        </w:rPr>
        <w:t>E. 7.2</w:t>
      </w:r>
    </w:p>
    <w:p>
      <w:r>
        <w:t>Aux débats de première instance, la prévenue a conclu à l’allocation d’une indemnité au sens de l’art. 429 CPP d’un montant de 3'629 fr. 40. La prévenue, qui est libérée d’un des deux chefs d’accusation et qui a procédé en première instance avec l’assistance d’un défenseur de choix, a droit à une indemnité réduite à la mesure des frais (TF 6B_262/2015 du 29 janvier 2016 consid. 1.2 et réf. cit.), à savoir d’une demie. La liste d’opérations produite en première instance ne prête pas le flanc à la critique (P. 29), de sorte que la somme de 1'814 fr. 70 (3'629 fr. 40/2) doit être allouée à la prévenue à titre d’indemnité pour les dépenses occasionnées par la procédure de première instance, à la charge de l’Etat. Cette indemnité sera partiellement compensée avec la part des frais de première instance mise à la charge de la prévenue (art. 442 al. 4 CPP). Le jugement attaqué doit être réformé dans ce sens aux chiffres V et VI de son dispositif.</w:t>
      </w:r>
    </w:p>
    <w:p>
      <w:r>
        <w:rPr>
          <w:b/>
        </w:rPr>
        <w:t>E. 8</w:t>
      </w:r>
    </w:p>
    <w:p>
      <w:r>
        <w:t>En définitive, l’appel interjeté par V.________ doit être partiellement admis, le jugement entrepris devant être modifié aux chiffres I, II, III, V et VI dans le sens des considérants qui précèdent. Vu l’issue de la cause, les frais de la procédure d'appel, constitués en l’espèce de l’émolument du présent jugement, par 2'790 fr. (art. 21 al. 1 et 2 TFIP [Tarif des frais de procédure et indemnités en matière pénale du 28 septembre 2010 ; BLV 312.03.1]), seront mis par moitié, soit 1'395 fr., à la charge de V.________ et par moitié, soit 1'395 fr., à la charge de A.H.________, B.H.________, C.H.________ et D.H.________, solidairement entre eux. L’appelante, qui obtient partiellement gain de cause et qui a procédé avec l’assistance d’un mandataire professionnel, requiert l’octroi d’une indemnité au sens de l’art. 429 CPP d’un montant de 10'000 francs. Dans la mesure où son défenseur de choix assure sa défense depuis l’instruction, qu’il avait une parfaite connaissance du dossier et qu’il n’y a</w:t>
      </w:r>
    </w:p>
    <w:p>
      <w:r>
        <w:t>- 28 - pas lieu de rémunérer à double l’activité de l’avocat et celle de son avocat-stagiaire, l’indemnité requise est excessive. Vu les difficultés de la cause, l’allocation d’une indemnité correspondant à 11 heures d’activité d’avocat breveté au tarif horaire de 300 fr. serait justifiée (art. 26a al. 3 et 4 TFIP) et seule une indemnité réduite à la mesure des frais, à savoir à la moitié, devrait être allouée à l’appelante. Quant aux plaignants, qui ont procédé par un conseil de choix dès la procédure d’appel et qui ont conclu au rejet de l’appel ainsi qu’à l’octroi d’une indemnité pour les dépenses obligatoires occasionnées par la procédure d’appel, ils obtiennent également partiellement gain de cause. Au vu des déterminations écrites produites par le conseil de choix qui est intervenu seulement en deuxième instance, la défense des intérêts des plaignants a également justifié une durée d’activité d’avocat d’environ</w:t>
      </w:r>
    </w:p>
    <w:p>
      <w:r>
        <w:rPr>
          <w:b/>
        </w:rPr>
        <w:t>E. 11</w:t>
      </w:r>
    </w:p>
    <w:p>
      <w:r>
        <w:t>heures, y compris le temps de l’audience d’appel, au tarif horaire de 300 francs. Tant l’appelante que les plaignants succombent partiellement dans leurs conclusions. L’activité de leurs conseils en procédure d’appel peut être jugée équivalente. Les dépens d’appel – au sens de l’art. 432 al. 2 CPP pour l’appelante et au sens de l’art. 433 al. 1 CPP pour les plaignants, par renvoi de l’art. 436 CPP – seront ainsi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