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PE17.012284 vom 27. Juli 2017</w:t>
      </w:r>
    </w:p>
    <w:p>
      <w:r>
        <w:t>VD Tribunal cantonal, 2017-07-27, FR</w:t>
      </w:r>
    </w:p>
    <w:p>
      <w:r>
        <w:rPr>
          <w:b/>
        </w:rPr>
        <w:t xml:space="preserve">Quelle: </w:t>
      </w:r>
      <w:r>
        <w:t>https://mcp.opencaselaw.ch/entscheid/vd_gerichte_PE17.012284</w:t>
      </w:r>
    </w:p>
    <w:p>
      <w:r>
        <w:t>FR: VD_GERICHTE PE17.012284 du 27 juillet 2017</w:t>
      </w:r>
    </w:p>
    <w:p>
      <w:r>
        <w:t>IT: VD_GERICHTE PE17.012284 del 27 luglio 2017</w:t>
      </w:r>
    </w:p>
    <w:p>
      <w:pPr>
        <w:pStyle w:val="Heading2"/>
      </w:pPr>
      <w:r>
        <w:t>Erwägungen</w:t>
      </w:r>
    </w:p>
    <w:p>
      <w:r>
        <w:rPr>
          <w:b/>
        </w:rPr>
        <w:t>E. 1</w:t>
      </w:r>
    </w:p>
    <w:p>
      <w:r>
        <w:t>L'art. 395 let. a CPP (Code de procédure pénale suisse du 5 octobre 2007;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étant le cas en l’espèce, la cause relève de la compétence d’un juge de la Cour de céans statuant comme juge unique.</w:t>
      </w:r>
    </w:p>
    <w:p>
      <w:r>
        <w:rPr>
          <w:b/>
        </w:rPr>
        <w:t>E. 2.1</w:t>
      </w:r>
    </w:p>
    <w:p>
      <w:r>
        <w:t>Selon l'art. 383 CPP, la direction de la procédure de l’autorité de recours peut astreindre la partie plaignante à fournir des sûretés dans</w:t>
      </w:r>
    </w:p>
    <w:p>
      <w:r>
        <w:t>- 3 - un délai déterminé pour couvrir les frais et indemnités éventuels (al. 1). Si les sûretés ne sont pas fournies dans le délai imparti, l’autorité de recours n’entre pas en matière sur le recours (al. 2). Les sûretés sont réputées fournies dans le délai lorsqu’elles sont remises à l’autorité de recours, versées en sa faveur à la poste suisse, ou encore débitées d’un compte bancaire ou postal suisse le dernier jour du délai au plus tard (Calame, Code de procédure pénale suisse, Commentaire romand, Bâle 2011, n. 6 ad art. 383 CPP; cf. art. 143 al. 3 CPC [Code de procédure civile du 19 décembre 2008; RS 272]).</w:t>
      </w:r>
    </w:p>
    <w:p>
      <w:r>
        <w:rPr>
          <w:b/>
        </w:rPr>
        <w:t>E. 2.2</w:t>
      </w:r>
    </w:p>
    <w:p>
      <w:r>
        <w:t>Selon l’art. 92 CPP, les autorités peuvent prolonger les délais ou ajourner les termes qu'elles ont fixés, d'office ou sur demande; la demande doit être présentée avant l'expiration des délais et être suffisamment motivée. A teneur de l’art. 94 CPP,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r>
        <w:rPr>
          <w:b/>
        </w:rPr>
        <w:t>E. 2.3</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139 IV 228 consid. 1.1 et les références citées; ATF 130 III 396 consid. 1.2.3; TF 6B_704/2015 du 16 février 2016 consid. 2.3).</w:t>
      </w:r>
    </w:p>
    <w:p>
      <w:r>
        <w:t>- 4 -</w:t>
      </w:r>
    </w:p>
    <w:p>
      <w:r>
        <w:rPr>
          <w:b/>
        </w:rPr>
        <w:t>E. 2.4</w:t>
      </w:r>
    </w:p>
    <w:p>
      <w:r>
        <w:t>En l’espèce, on ne saurait considérer que le défaut de versement de l’avance de frais requise n'est imputable à aucune faute de la part de la recourante. En effet, il lui appartenait de prendre toutes dispositions utiles pour le traitement de son courrier durant son absence, dès lors qu’elle se savait partie à une procédure judiciaire, qu’elle avait introduite peu avant son départ. Il n’y a donc pas matière à prolongation, respectivement à restitution du délai imparti le 29 juin 2017. Le recours est ainsi irrecevable pour le seul motif déduit du défaut de versement des sûretés déjà (art. 383 al. 2 CPP; CREP 11 avril 2017/236; CREP 22 décembre 2016/801).</w:t>
      </w:r>
    </w:p>
    <w:p>
      <w:r>
        <w:rPr>
          <w:b/>
        </w:rPr>
        <w:t>E. 2.5</w:t>
      </w:r>
    </w:p>
    <w:p>
      <w:r>
        <w:t>Par surabondance, le Juge de céans ajoutera que, même si les sûretés avaient été versées en temps utiles, la recevabilité du recours aurait été des plus incertaines, s’agissant d’un accident de la circulation n’ayant entraîné que des dommages matériels et abstraction faite même de la question du respect du délai de recours. En effet, la partie qui entend recourir contre une décision doit avoir un intérêt juridiquement protégé à l’annulation ou à la modification de celle-ci (art. 382 al. 1 CPP). Elle doit démontrer en quoi la décision attaquée viole une règle de droit destinée à protéger ses intérêts et en quoi elle en déduit un droit subjectif (Moreillon/ Parein-Reymond, Petit Commentaire du Code de procédure pénale, 2e éd., Bâle 2016, n. 3 ad art. 382 CPP). Or les règles de la LCR protègent directement la fluidité du trafic sur les routes publiques et, de ce fait, l’intérêt public. Les intérêts individuels comme la vie et l'intégrité corporelle ou la propriété, respectivement le patrimoine, ne sont qu'indirectement protégés. La personne impliquée dans un accident qui ne subit que de simples dégâts matériels n'est dès lors pas lésée au sens des art. 115 et 118 CPP dans la procédure pénale contre le responsable d'une violation des règles de la circulation routière (ATF 138 IV 258 consid. 3.1, 3.2 et 4.1, JdT 2013 IV 214; CREP 17 mai 2017/330; CREP 9 mars 2016/176; CREP 3 décembre 2015/299; CREP 7 août 2013/488).</w:t>
      </w:r>
    </w:p>
    <w:p>
      <w:r>
        <w:t>- 5 -</w:t>
      </w:r>
    </w:p>
    <w:p>
      <w:r>
        <w:rPr>
          <w:b/>
        </w:rPr>
        <w:t>E. 2.6</w:t>
      </w:r>
    </w:p>
    <w:p>
      <w:r>
        <w:t>Il résulte de ce qui précède que le recours doit être déclaré irrecevable. Les frais de la procédure de recours, par 450 fr. (art. 422 al. 1 CPP et 20 al. 1 TFIP [tarif des frais de procédure et indemnités en matière pénale du 28 septembre 2010; RSV 312.03.1]), seront laissés à la charge de l’Etat (art. 423 al. 1 CPP).</w:t>
      </w:r>
    </w:p>
    <w:p>
      <w:r>
        <w:t>- 6 - Par ces motifs, le juge unique prononce : I. Le recours est irrecevable. II. Les frais de la procédure de recours, par 450 fr. (quatre cent cinquante francs), sont laissés à la charge de l'Etat. III. L’arrêt est exécutoire. Le juge unique : Le greffier : Du Le présent arrêt, dont la rédaction a été approuvée à huis clos, est notifié, par l'envoi d'une copie complète, à : - Mme B.________, - Ministère public central, et communiqué à : - M. le Préfet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