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PE17.012274 vom 6. September 2017</w:t>
      </w:r>
    </w:p>
    <w:p>
      <w:r>
        <w:t>VD Tribunal cantonal, 2017-09-06, FR</w:t>
      </w:r>
    </w:p>
    <w:p>
      <w:r>
        <w:rPr>
          <w:b/>
        </w:rPr>
        <w:t xml:space="preserve">Quelle: </w:t>
      </w:r>
      <w:r>
        <w:t>https://mcp.opencaselaw.ch/entscheid/vd_gerichte_PE17.012274</w:t>
      </w:r>
    </w:p>
    <w:p>
      <w:r>
        <w:t>FR: VD_GERICHTE PE17.012274 du 6 septembre 2017</w:t>
      </w:r>
    </w:p>
    <w:p>
      <w:r>
        <w:t>IT: VD_GERICHTE PE17.012274 del 6 settembre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- 4 -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3.1</w:t>
      </w:r>
    </w:p>
    <w:p>
      <w:r>
        <w:t>Le recourant soutient qu'il est bien intégré, qu'il n'a pas d'antécédents pénaux et que trois témoins l'ont décrit comme une personne calme et non violente, de sorte qu'il n'existerait aucun risque de récidive.</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 TF 1B_6/2017 et TF 1B_26/2017 du 8 février 2017 consid. 3.1.1 et les références citées). Pour établir le pronostic de récidive, les critères déterminants sont la fréquence et l'intensité des infractions poursuivies. Cette</w:t>
      </w:r>
    </w:p>
    <w:p>
      <w:r>
        <w:t>- 5 -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3.3</w:t>
      </w:r>
    </w:p>
    <w:p>
      <w:r>
        <w:t>En l'espèce, dans son arrêt du 4 août 2017, la Chambre des recours pénale a considéré que le recourant, qui avait admis les faits dans</w:t>
      </w:r>
    </w:p>
    <w:p>
      <w:r>
        <w:t>- 6 - une large mesure, avait sauvagement agressé Z.________ avec une violence peu commune, ce qui faisait de lui un personnage très inquiétant. Ces éléments gardent toute leur actualité. En effet, au cours de son audition du 29 juin 2017, B.________ a admis que, sentimentalement, elle faisait le « yoyo » entre le recourant et Z.________ et qu'en fonction de la discussion qu'elle aurait eue avec ce dernier à son retour de vacances, elle aurait alors décidé avec lequel elle souhaitait rester (PV aud. 3, p. 5). Le recourant a admis qu'il savait que B.________ et Z.________ se voyaient, qu'il était allé chez ce dernier pour lui dire de la laisser tranquille, que c'était lui qui avait demandé à son fils B.X.________ d'écrire deux lettres anonymes de menaces à B.________ et à la victime, dans le but que ceux-ci ne se parlent plus, et que c'était lui qui avait demandé à B.X.________ de l'amener en voiture à deux ou trois reprises au domicile de la victime avant l'agression. Dans ces circonstances, on peut logiquement en déduire que le recourant était jaloux de Z.________ et ne supportait pas l'indécision de B.________. Au vu de la violence de l'agression et de l'état alcoolisé du recourant à ce moment-là – il a admis qu'il avait bu avant une bouteille de vin avec une tierce personne, de la bière avec une voisine, puis à lui seul une bouteille de vin et deux grappas –, on peut nourrir de très sérieuses craintes que celui-ci ne s'en prenne à nouveau à l'intégrité corporelle de Z.________ s'il était libéré. On est d'autant plus fondé à redouter une telle atteinte que le recourant nie totalement le fait qu'il serait jaloux, semble imputer son comportement de ce soir-là à sa seule consommation d'alcool, n'explique toujours pas pourquoi les lésions constatées ne correspondent pas à ses déclarations et n'a exprimé aucun regret de ses actes, ce qui tend à démontrer qu'il n'a pas pris conscience de leur gravité. L'ordonnance attaquée échappe ainsi à toute critique en tant qu’elle retient l'existence d'un risque de récidive, même en l'absence d'antécédents.</w:t>
      </w:r>
    </w:p>
    <w:p>
      <w:r>
        <w:rPr>
          <w:b/>
        </w:rPr>
        <w:t>E. 4</w:t>
      </w:r>
    </w:p>
    <w:p>
      <w:r>
        <w:t>- 7 -</w:t>
      </w:r>
    </w:p>
    <w:p>
      <w:r>
        <w:rPr>
          <w:b/>
        </w:rPr>
        <w:t>E. 4.1</w:t>
      </w:r>
    </w:p>
    <w:p>
      <w:r>
        <w:t>Les conditions de l’art. 221 al. 1 CPP étant alternatives (TF 1B_249/2011 du 7 juin 2011 consid. 2.4), l’existence d’un risque de récidive dispenserait la Cour de céans d’examiner si la détention provisoire s’impose en raison d'un autre risque. Le danger de fuite sera néanmoins examiné ci-dessous par surabondance.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4.3</w:t>
      </w:r>
    </w:p>
    <w:p>
      <w:r>
        <w:t>Le recourant soutient que le Ministère public ne pouvait pas invoquer le risque de fuite pour la première fois dans le cadre de sa détermination sur sa demande de libération du 19 juillet 2017, sans qu'il puisse se déterminer. On constate toutefois que le recourant a fait valoir ses arguments à ce sujet ultérieurement, à l'encontre de la demande de prolongation de la détention provisoire. Il soutient qu'il est en Suisse depuis plus de 30 ans, qu'il y a un emploi stable, que son fils B.X.________ vit encore sous son toit et qu'il n'existerait aucun indice permettant de retenir qu'il s'enfuirait une fois libéré. En l’espèce, le recourant, divorcé, ressortissant [...] titulaire d'un permis C, vit en Suisse depuis 1984 où il a un travail depuis plusieurs années. Son fils B.X.________, né en 1998, vit chez sa mère. Son fils C.X.________, né en 1992, vit certes chez le recourant, mais leurs liens ne semblent pas être des plus étroits, puisque le jeune homme indique que vivre chez son père le « tend », que cela l'empêche de s'épanouir et de se construire et qu'il communique avec lui surtout par papiers manuscrits (PV aud. du 1er juillet 2017, R. 5). En outre, le recourant ne semble pas</w:t>
      </w:r>
    </w:p>
    <w:p>
      <w:r>
        <w:t>- 8 - véritablement intégré, puisqu'il a besoin de l'assistance d'un interprète, alors qu'il est en Suisse depuis 1984. Cette situation familiale et personnelle n'est donc pas de nature à exclure un risque de fuite de l'intéressé, d'autant moins que son emploi en Suisse et son permis de séjour pourraient disparaître avec la condamnation à laquelle il doit s’attendre. Dans ces conditions, il existe une probabilité que le recourant tente de se soustraire à l'exécution de la peine qui pourrait être prononcée contre lui en prenant la fuite, ce qui justifie également son maintien en détention provisoire.</w:t>
      </w:r>
    </w:p>
    <w:p>
      <w:r>
        <w:rPr>
          <w:b/>
        </w:rPr>
        <w:t>E. 5</w:t>
      </w:r>
    </w:p>
    <w:p>
      <w:r>
        <w:t>Aucune mesure de substitution n’est à même, en l’état, de prévenir les risques de récidive et de fuite retenus (art. 237 al. 1 CPP). Le recourant n'en propose d'ailleurs pas dans son recours. Le recourant est détenu depuis le 30 juin 2017. Compte tenu de la gravité des faits qui lui sont reprochés, le maintien de la détention provisoire est parfaitement proportionné au regard de la peine susceptible d’être prononcée à son encontre en cas de condamnation (art. 212 al. 3 CPP). Le principe de la proportionnalité est par conséquent respecté.</w:t>
      </w:r>
    </w:p>
    <w:p>
      <w:r>
        <w:rPr>
          <w:b/>
        </w:rPr>
        <w:t>E. 6</w:t>
      </w:r>
    </w:p>
    <w:p>
      <w:r>
        <w:t>En définitive, le recours, manifestement mal fondé, doit être rejeté sans autre échange d'écritures (art. 390 al. 2 CPP) et l'ordonnance entreprise confirmée. Les frais de la procédure de recours, par 880 fr. (art. 20 al. 1 TFIP [tarif des frais de procédure et indemnités en matière pénale du 28 septembre 2010 ; RSV 312.03.1]), ainsi que les frais imputables à la défense d’office (art. 422 al. 1 et 2 let. a CPP), fixés à 583 fr. 20 (soit 540 fr., plus la TVA par 43 fr. 20), seront mis à la charge du recourant, qui succombe (art. 428 al. 1 CPP). Le remboursement à l’Etat de l’indemnité allouée au défenseur d’office du recourant sera exigible pour autant que la situation économique de ce dernier le permette (art. 135 al. 4 CPP).</w:t>
      </w:r>
    </w:p>
    <w:p>
      <w:r>
        <w:t>- 9 - Par ces motifs, la Chambre des recours pénale prononce : I. Le recours est rejeté. II. L'ordonnance du 23 août 2017 est confirmée. III. L'indemnité allouée au défenseur d'office de A.X.________ est fixée à 583 fr. 20 (cinq cent huitante-trois francs et vingt centimes). IV. Les frais d'arrêt, par 880 fr. (huit cent huitante francs), ainsi que l'indemnité due au défenseur d'office de A.X.________, par 583 fr. 20 (cinq cent huitante-trois francs et vingt centimes), sont mis à la charge du recourant. V. Le remboursement à l'Etat de l'indemnité allouée au chiffre III ci-dessus sera exigible pour autant que la situation économique de A.X.________ le permette. VI. L’arrêt est exécutoire. Le président : La greffère : Du Le présent arrêt, dont la rédaction a été approuvée à huis clos, est notifié, par l'envoi d'une copie complète, à : - Me Arnaud Thièry, avocat (pour A.X.________), - Ministère public central, et communiqué à : - M. le Président du Tribunal des mesures de contrainte, - M. le Procureur de l'arrondissement de l'Est vaudois, - Prison de la Croisée, - Service de la population, Division étrangers,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