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PE17.012197 vom 30. April 2020</w:t>
      </w:r>
    </w:p>
    <w:p>
      <w:r>
        <w:t>VD Tribunal cantonal, 2020-04-30, FR</w:t>
      </w:r>
    </w:p>
    <w:p>
      <w:r>
        <w:rPr>
          <w:b/>
        </w:rPr>
        <w:t xml:space="preserve">Quelle: </w:t>
      </w:r>
      <w:r>
        <w:t>https://mcp.opencaselaw.ch/entscheid/vd_gerichte_PE17.012197</w:t>
      </w:r>
    </w:p>
    <w:p>
      <w:r>
        <w:t>FR: VD_GERICHTE PE17.012197 du 30 avril 2020</w:t>
      </w:r>
    </w:p>
    <w:p>
      <w:r>
        <w:t>IT: VD_GERICHTE PE17.012197 del 30 aprile 2020</w:t>
      </w:r>
    </w:p>
    <w:p>
      <w:pPr>
        <w:pStyle w:val="Heading2"/>
      </w:pPr>
      <w:r>
        <w:t>Erwägungen</w:t>
      </w:r>
    </w:p>
    <w:p>
      <w:r>
        <w:rPr>
          <w:b/>
        </w:rPr>
        <w:t>E. 6</w:t>
      </w:r>
    </w:p>
    <w:p>
      <w:r>
        <w:t>Il résulte de ce qui précède que l’appel du Ministère public doit être partiellement admis et le jugement entrepris réformé en ce sens que les frais judiciaires de première instance, par 375 fr., doivent être mis à la charge d’Y.________ et que celui-ci n’a droit à aucune indemnité pour les dépenses occasionnées par l’exercice raisonnable de ses droits de procédure. Les frais de la procédure d’appel, par 880 fr. (art. 21 al. 1 TFIP [Tarif des frais de procédure et indemnités en matière pénale du 28 septembre 2010 ; BLV 312.03.1]), seront, par équité,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