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PE17.011826 vom 28. April 2021</w:t>
      </w:r>
    </w:p>
    <w:p>
      <w:r>
        <w:t>VD Tribunal cantonal, 2021-04-28, FR</w:t>
      </w:r>
    </w:p>
    <w:p>
      <w:r>
        <w:rPr>
          <w:b/>
        </w:rPr>
        <w:t xml:space="preserve">Quelle: </w:t>
      </w:r>
      <w:r>
        <w:t>https://mcp.opencaselaw.ch/entscheid/vd_gerichte_PE17.011826</w:t>
      </w:r>
    </w:p>
    <w:p>
      <w:r>
        <w:t>FR: VD_GERICHTE PE17.011826 du 28 avril 2021</w:t>
      </w:r>
    </w:p>
    <w:p>
      <w:r>
        <w:t>IT: VD_GERICHTE PE17.011826 del 28 aprile 2021</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la partie plaignante qui a qualité pour recourir (art. 382 al. 1 CPP), et satisfaisant aux conditions de forme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w:t>
      </w:r>
    </w:p>
    <w:p>
      <w:r>
        <w:t>- 6 -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w:t>
      </w:r>
    </w:p>
    <w:p>
      <w:r>
        <w:t>Dans un moyen de nature formelle, le recourant reproche au Ministère public une violation de son droit d'être entendu, au motif qu'il</w:t>
      </w:r>
    </w:p>
    <w:p>
      <w:r>
        <w:t>- 7 - n'aurait pas motivé sa décision concernant l'infraction d'utilisation frauduleuse d'un ordinateur. On ne peut toutefois suivre le recourant sur ce point. En effet, le Ministère public a motivé le classement des infractions d'utilisation frauduleuse d'un ordinateur et de gestion déloyale en retenant que le dessein d'enrichissement illégitime faisait défaut. Or, un tel dessein est précisément un des éléments constitutifs subjectifs de l'infraction visée par l'art. 147 CP. Ce moyen, mal fondé, doit être rejeté.</w:t>
      </w:r>
    </w:p>
    <w:p>
      <w:r>
        <w:rPr>
          <w:b/>
        </w:rPr>
        <w:t>E. 4</w:t>
      </w:r>
    </w:p>
    <w:p>
      <w:r>
        <w:t>Le recourant se plaint du classement de sa plainte s'agissant du cas 3 de l'ordonnance. Il soutient que ce serait à tort que le Ministère public n'a pas retenu les infractions d'utilisation frauduleuse d'un ordinateur (art. 147 al. 1 CP) et de gestion déloyale (art. 158 ch. 1 al. 3 CP).</w:t>
      </w:r>
    </w:p>
    <w:p>
      <w:r>
        <w:rPr>
          <w:b/>
        </w:rPr>
        <w:t>E. 4.1</w:t>
      </w:r>
    </w:p>
    <w:p>
      <w:r>
        <w:t>Aux termes de l’art. 147 ch. 1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L’art. 158 ch. 1 CP dispose notamment que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Si l’auteur a agi dans le dessein de se procurer ou de procurer à un tiers un enrichissement illégitime, le juge pourra prononcer une peine privative de liberté de un à cinq ans (al. 3).</w:t>
      </w:r>
    </w:p>
    <w:p>
      <w:r>
        <w:t>- 8 - De manière générale, le dessein d'enrichissement illégitime fait défaut notamment si, au moment de l'emploi illicite de la valeur patrimoniale, l'auteur était en droit de compenser (ATF 105 IV 29 consid. 3a p. 34 s.). Cette hypothèse implique que l'auteur ait une créance d'un montant au moins égal à la valeur qu'il s'est appropriée ou à la valeur patrimoniale qu'il a utilisée et qu'il ait vraiment agi en vue de se payer (TF 6B_382/2017 du 2 février 2018 consid. 4.1).</w:t>
      </w:r>
    </w:p>
    <w:p>
      <w:r>
        <w:rPr>
          <w:b/>
        </w:rPr>
        <w:t>E. 4.2</w:t>
      </w:r>
    </w:p>
    <w:p>
      <w:r>
        <w:t>Le recourant soutient que les fonds prélevés par la prévenue lui appartenaient exclusivement malgré qu'ils se trouvaient sur un compte commun. La prévenue aurait ainsi agi par appât du gain. Elle devait utiliser les voies légales ordinaires pour recouvrer les pensions dues par le recourant. Il est établi que les parties sont mariées sous le régime de la séparation de biens, que le compte dont il est question dans la présente procédure était un compte commun, que l'argent qui s'y trouvait appartenait au recourant qui était le seul à alimenter ce compte et qu’à l’époque des prélèvements litigieux, le couple était séparé. Le recourant ne s'acquittait pas des pensions mises à sa charge (dans un premier temps, 14'960 fr. par mois pour la prévenue et les trois enfants du couple, dès le 1er mars 2017 selon prononcé de mesures protectrices de l’union conjugale du 13 avril 2017) et la prévenue a déposé plainte pénale à raison de ces faits le 20 juin 2017 (P. 4). Le 25 avril 2017, alors que le recourant avait changé le code d'accès au compte (code par téléphone), la prévenue a obtenu un nouveau code d’accès et a effectué depuis le compte deux prélèvements de 12'500 euros chacun en sa faveur et un autre de 2'400 euros en faveur de l'enfant du couple B.J.________. La prévenue a expliqué que l'argent avait servi à payer les avocats pour la procédure qui l’opposait au recourant et à l'entretien de la famille (PV aud. 1). La question à résoudre est celle de savoir si l'enrichissement de la prévenue doit être qualifié d'illégitime. A l'époque des prélèvements litigieux, le 25 avril 2017, le recourant restait lui devoir deux pensions</w:t>
      </w:r>
    </w:p>
    <w:p>
      <w:r>
        <w:t>- 9 - (mars et avril 2017) pour elle et les enfants du couple, soit 29'920 fr. (2 x 14'960 francs). La prévenue pouvait alors valablement prétendre à cette somme fixée par prononcé de mesures protectrices de l’union conjugale. Quant aux montants litigieux débités du compte, ils totalisaient 27'400 euros (12'500 euros x 2 et 2'400 euros). Ainsi, s'agissant des sommes en jeu, il n'y a pas d'enrichissement illégitime de la prévenue, puisque les prélèvements qui lui sont reprochés sont inférieurs aux sommes qui lui étaient dues par le recourant. La question de l'origine des fonds est discutée par le recourant. On ne saurait toutefois reprocher à la recourante d'avoir opéré ces virements sur un compte dont elle était aussi la titulaire, et sur lequel elle bénéficiait d'un accès direct grâce aux codes transmis par la banque. Dans ce contexte, sous l'angle subjectif, il n'y avait pas de la part de la recourante un dessein d'enrichissement illégitime. Cette condition faisant défaut, c'est à juste titre que le Ministère public a classé les infractions d'utilisation abusive d'un ordinateur et de gestion déloyale, sans qu'il soit nécessaire d'examiner si les autres éléments constitutifs de ces infractions seraient réalisés.</w:t>
      </w:r>
    </w:p>
    <w:p>
      <w:r>
        <w:rPr>
          <w:b/>
        </w:rPr>
        <w:t>E. 4.3</w:t>
      </w:r>
    </w:p>
    <w:p>
      <w:r>
        <w:t>Le recourant reproche aussi au Ministère public de ne pas avoir retenu à titre subsidiaire l'infraction de gestion déloyale et celles d'appropriation illégitime (art. 137 CP) et de vol (art. 139 CP). S'il est exact que le Ministère public doit, une fois saisi d'une plainte, examiner le cas à l'aune des dispositions légales topiques qui pourraient être applicables aux faits dénoncés, il n'en demeure pas moins qu'il appartient au plaignant d'orienter l'autorité de poursuite à ce sujet. Dans le cas présent, le recourant a déposé deux plaintes pénales successives, les 15 mai et 6 juin 2017 (P. 8 et P. 9). En ce qui concerne les prélèvements effectués par la prévenue, ces plaintes portaient exclusivement sur les infractions de gestion déloyale (plainte du 15 mai 2017) et d'utilisation frauduleuse d'un ordinateur et de gestion déloyale (plainte du 6 juin 2017). En aucun cas le recourant, qui était déjà assisté d'un mandataire professionnel, n'a fait référence aux infractions</w:t>
      </w:r>
    </w:p>
    <w:p>
      <w:r>
        <w:t>- 10 - d'appropriation illégitime ou de vol. Il ne saurait par conséquent le reprocher au Ministère public dans le cadre de son recours. Quoi qu'il en soit, ces infractions ne seraient pas réalisées, l'élément subjectif d'un dessein d'enrichissement illégitime chez la prévenue faisant défaut (cf. consid. 3.2 supra). Ce moyen, mal fondé, doit également être rejeté.</w:t>
      </w:r>
    </w:p>
    <w:p>
      <w:r>
        <w:rPr>
          <w:b/>
        </w:rPr>
        <w:t>E. 4.4</w:t>
      </w:r>
    </w:p>
    <w:p>
      <w:r>
        <w:t>Le recourant se plaint enfin de l'application par le Ministère public de l'art. 432 CPP, conduisant à le condamner à verser à la prévenue le montant de 4'583 fr. 95 à titre d'indemnité au sens de cette disposition. Le recourant se plaint d'une violation de son droit d'être entendu à deux titres : il n'a pas été invité à se déterminer sur le principe de l'application de cette disposition et il n'a pas eu connaissance du relevé détaillé des opérations du défenseur de la prévenue, ce qui l'aurait empêché de se déterminer sur la quotité de l'indemnité mise à sa charge. Ce grief n’est pas fondé. La Chambre de céans rappelle tout d'abord que le Ministère public n'a pas d'obligation d'indiquer au plaignant qu'il se réserve de faire application de l'art. 432 al. 2 CPP, ce d'autant moins que cette disposition ne s'applique que si le prévenu fait valoir des prétentions (art. 429 CPP), ce que généralement l'on ignore lors de l'avis de prochaine clôture. Ensuite, s'agissant de la non communication du relevé d'opérations par le défenseur de la prévenue, ce moyen du recourant frise la mauvaise foi. En effet, dans sa détermination dans le délai imparti à cet effet, le défenseur de la prévenue, Me Rodondi, a expressément indiqué que la prévenue concluait à l'allocation d'un montant de 8'083 fr. 95 au titre d'indemnité fondée sur l'art. 429 CPP (P. 41). Une copie de ce courrier a été adressée au conseil du recourant, qui savait dès lors à quel montant s'élevaient les prétentions sur ce point de la prévenue. S'il entendait le discuter sur la base du décompte précis des opérations, qui avait été adressé en annexe à cette lettre du 15 février 2021, il lui appartenait d'interpeller Me Rodondi, respectivement de consulter le dossier dans lequel ce décompte figurait. Le recourant ne peut s'en prendre qu'à lui-même s'il ne l'a pas fait.</w:t>
      </w:r>
    </w:p>
    <w:p>
      <w:r>
        <w:t>- 11 - Pour le surplus, les motifs convaincants retenus par le Ministère public pour mettre à la charge du recourant l’indemnité allouée à la prévenue, conformément à l’art. 432 CPP, peuvent être confirmés (art. 82 al. 4 CPP).</w:t>
      </w:r>
    </w:p>
    <w:p>
      <w:r>
        <w:rPr>
          <w:b/>
        </w:rPr>
        <w:t>E. 5</w:t>
      </w:r>
    </w:p>
    <w:p>
      <w:r>
        <w:t>En définitive, le recours, manifestement mal fondé, doit être rejeté sans échange d'écritures (art. 390 al. 2 CPP) et l’ordonnance du 1er avril 2021 confirmée. Les frais de la procédure de recours, constitués en l'espèce du seul émolument d'arrêt, par 1'100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1er avril 2021 est confirmée. III. Les frais d’arrêt, par 1’100 fr. (mille cent francs), sont mis à la charge du recourant A.J.________. IV. L’arrêt est exécutoire. Le président : La greffière :</w:t>
      </w:r>
    </w:p>
    <w:p>
      <w:r>
        <w:t>- 12 - Du Le présent arrêt, dont la rédaction a été approuvée à huis clos, est notifié, par l'envoi d'une copie complète, à : - Me Patricia Michellod, avocate (pour A.J.________), - Me Olivier Rodondi et Michaël Stauffacher, avocats (pour F.________),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