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PE17.011760 vom 10. Oktober 2022</w:t>
      </w:r>
    </w:p>
    <w:p>
      <w:r>
        <w:t>VD Tribunal cantonal, 2022-10-10, FR</w:t>
      </w:r>
    </w:p>
    <w:p>
      <w:r>
        <w:rPr>
          <w:b/>
        </w:rPr>
        <w:t xml:space="preserve">Quelle: </w:t>
      </w:r>
      <w:r>
        <w:t>https://mcp.opencaselaw.ch/entscheid/vd_gerichte_PE17.011760</w:t>
      </w:r>
    </w:p>
    <w:p>
      <w:r>
        <w:t>FR: VD_GERICHTE PE17.011760 du 10 octobre 2022</w:t>
      </w:r>
    </w:p>
    <w:p>
      <w:r>
        <w:t>IT: VD_GERICHTE PE17.011760 del 10 ottobre 2022</w:t>
      </w:r>
    </w:p>
    <w:p>
      <w:pPr>
        <w:pStyle w:val="Heading2"/>
      </w:pPr>
      <w:r>
        <w:t>Erwägungen</w:t>
      </w:r>
    </w:p>
    <w:p>
      <w:r>
        <w:rPr>
          <w:b/>
        </w:rPr>
        <w:t>E. 4.1</w:t>
      </w:r>
    </w:p>
    <w:p>
      <w:r>
        <w:t>Indépendamment de ce qui précède, I.O.________ conteste la quotité de la peine prononcée à son encontre, qui, selon elle, ne devrait pas dépasser 24 mois avec sursis complet de deux ans. Elle reproche en particulier au Tribunal de ne pas avoir retenu assez d’éléments à décharge et de ne pas avoir motivé les raisons pour lesquelles il avait fixé le délai d’épreuve au maximum légal de cinq ans.</w:t>
      </w:r>
    </w:p>
    <w:p>
      <w:r>
        <w:t>- 31 -</w:t>
      </w:r>
    </w:p>
    <w:p>
      <w:r>
        <w:rPr>
          <w:b/>
        </w:rPr>
        <w:t>E. 4.2.1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(loi fédérale sur les stupéfiants et les substances psychotropes du 3 octobre 1951 ; RS 812.121). Le type de drogue et sa pureté doivent aussi être pris en considération (ATF 121 IV 193 consid. 2b/aa ; TF 6B_101/2021 du 22 décembre 2021 consid. 3.2). Pour déterminer si le seuil est atteint, il faut déterminer la quantité de drogue pure sur laquelle a porté l'infraction, qui est seule décisive. Si l'examen est impossible, dès lors que la drogue n'a pas pu être saisie, le</w:t>
      </w:r>
    </w:p>
    <w:p>
      <w:r>
        <w:t>- 32 - juge peut admettre sans arbitraire, en l'absence d'autres éléments, que la drogue était d'une qualité moyenne et se référer au degré de pureté habituel sur le marché à l'époque et au lieu en question (ATF 145 IV 312 consid. 2.1.1 et les références citées).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Le nombre d'opérations constitue un indice pour mesurer l’intensité du comportement délictueux. S'agissant d'apprécier les mobiles qui ont poussé l’auteur a agir, le juge doit distinguer le cas de celui qui est lui-même toxicomane et agit pour financer sa propre consommation de celui qui participe à un trafic uniquement poussé par l’appât du gain (TF 6B_101/2021 du 22 décembre 2021 consid. 3.2 ; TF 6B_227/2020 consid. 2.1 et les références citées).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a ce défaut, seraient restés obscurs (ATF 121 IV 202 consid. 2d/aa ; ATF 118 IV 342 consid. 2d ; TF 6B_965/2018 du 15 novembre 2018 consid. 3.3). Le critère de l’effet de la peine sur l’avenir du condamné est mentionné à l’art. 47 al. 1 CP. La perspective que l’exécution d’une peine privative de liberté puisse détacher le condamné d’un environnement favorable peut, selon les circonstances concrètes du cas, déployer un effet atténuant et conduire au prononcé d’une peine inférieur à celle qui serait proportionnée à sa culpabilité (ATF 134 IV 17 consid. 3.4). Cela étant, il est inévitable que l’exécution d’une peine ferme d’une certaine durée ait des répercussions sur la vie professionnelle et familiale du condamné. Ces conséquences ne peuvent conduire à une réduction de peine qu’en cas de circonstances extraordinaires. La situation familiale ne doit ainsi être prise</w:t>
      </w:r>
    </w:p>
    <w:p>
      <w:r>
        <w:t>- 33 - en compte par le juge ne doit en tenir compte, dans une mesure sensible, comme facteur favorable qu'en cas de circonstances exceptionnelles (TF 6B_716/2010 du 15 novembre 2010 c. 2.3 et les références citées). Au surplus, l’effet de la peine sur l’avenir du condamné, en tant qu’élément de prévention spéciale, ne permet que des corrections marginales dans la fixation de la peine au regard des autres éléments d’appréciation de la culpabilité et des infractions commises (TF 6B_494/2011 du 4 octobre 2011 consid. 2.3 et les références citées).</w:t>
      </w:r>
    </w:p>
    <w:p>
      <w:r>
        <w:rPr>
          <w:b/>
        </w:rPr>
        <w:t>E. 4.2.2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w:t>
      </w:r>
    </w:p>
    <w:p>
      <w:r>
        <w:rPr>
          <w:b/>
        </w:rPr>
        <w:t>E. 4.2.3</w:t>
      </w:r>
    </w:p>
    <w:p>
      <w:r>
        <w:t>Le juge suspend en règle générale l’exécution d’une peine pécuniaire ou d’une peine privative de liberté de deux au plus lorsqu’une peine ferme ne paraît pas nécessaire pour détourner l’auteur d’autres crimes ou délits (art. 42 al. 1 CP). A teneur de l'art. 43 CP, le juge peut suspendre partiellement l'exécution d'une peine privative de liberté d'un</w:t>
      </w:r>
    </w:p>
    <w:p>
      <w:r>
        <w:t>- 34 - an au moins et de trois ans au plus afin de tenir compte de façon appropriée de la faute de l'auteur (al. 1). La partie à exécuter ne peut excéder la moitié de la peine (al. 2). Tant la partie suspendue que la partie à exécuter doivent être de six mois au moins (al. 3). Si le juge suspend totalement ou partiellement l'exécution d'une peine, il impartit au condamné un délai d'épreuve de deux à cinq ans (art. 44 al. 1 CP). La durée du délai d'épreuve doit être fixée en tenant compte des circonstances du cas concret, notamment de la personnalité et du caractère du condamné ainsi que du risque de récidive. Plus ce risque est important, plus le délai d'épreuve doit être long, et, partant, la pression qu'il exerce sur le condamné pour qu'il renonce à commettre de nouvelles infractions. La durée du délai d'épreuve doit être déterminée de manière à offrir la plus grande probabilité que le condamné ne récidivera pas. Le juge dispose d'un large pouvoir d'appréciation (ATF 95 IV 121 consid. 1 ; TF 6B_1192/2019 du 28 février 2020 consid. 2.1 et la référence citée).</w:t>
      </w:r>
    </w:p>
    <w:p>
      <w:r>
        <w:rPr>
          <w:b/>
        </w:rPr>
        <w:t>E. 4.3</w:t>
      </w:r>
    </w:p>
    <w:p>
      <w:r>
        <w:t>De 2014 à 2018, soit durant quatre ans, I.O.________ a collaboré intentionnellement et de manière déterminante avec les autres membres de sa famille dans l’organisation d’un trafic de stupéfiants, non seulement en entreposant chez elle 38,4 kg de marijuana, ainsi que 9,6 kg de haschich, mais également en conditionnant la marijuana, en apportant 50'000 fr. provenant des ventes à son père en Espagne et en effectuant diverses opérations de change, de telle sorte qu’elle apparaît comme l’un des participants principaux et que le trafic peut ainsi lui être imputable en tant que coauteur affiliée à une bande (ATF 135 IV 152 consid. 2.3.1 ; ATF 130 IV 58 consid. 9.2.1 ; TF 6B_209/2018 du 23 novembre 2018 consid. 2.1.2 ; Sträuli, in : Roth/Moreillon [éd.], Commentaire romand, Code pénal I, 2e éd., Bâle 2021, n. 107 ad intro aux art. 24-27 CP). Son activité s’inscrivant dans le trafic familial plus large, elle a de fait été impliquée dans l’importation de 34,275 kg de haschich, 190,25 kg de marijuana, ainsi que dans la revente de cette drogue à l’exception de 12 kg de haschich et 6 kg de marijuana qui ont été volés, et 20 kg de marijuana albanaise de mauvaise qualité qui n’ont pu être écoulés, pour un chiffre</w:t>
      </w:r>
    </w:p>
    <w:p>
      <w:r>
        <w:t>- 35 - d’affaires de 764'812 fr. 50. Plusieurs circonstances aggravantes de l’infraction à la loi fédérale sur les stupéfiants sont dès lors réalisées (bande [art. 19 al. 2. let. b] et métier [let. c]), de telle sorte que dite infraction doit être réprimée d’une peine privative de liberté d’un an au moins. La culpabilité d’I.O.________ est importante. Son activité délictueuse en matière de stupéfiants a été longue. Ses motivations ne s’expliquent que par l’appât du gain. S’agissant des commandes sur Internet, I.O.________ a expliqué lors de l’audience d’appel qu’elle avait agi parce qu’elle s’ennuyait et que cela lui permettait de s’occuper alors qu’elle était en dépression. Ses déclarations font peu de cas du patrimoine d’autrui. Elles dénotent aucune prise de conscience. En réalité, I.O.________ n’a jamais cherché à travailler. Aux débats d’appel, I.O.________ n’a exprimé aucun regret pour autrui. A charge encore, il faut retenir le concours d’infractions. S’agissant de la situation familiale de l’appelante, celle-ci ne diffère pas particulièrement de celle de nombreux détenus qui ont des enfants. Son fils souffre d’un TSA, mais ce trouble n’empêche pas sa scolarisation dans une école spécialisée. On ne voit donc pas en quoi cet argument constituerait un élément à décharge. A décharge, on retiendra donc uniquement le parcours de vie difficile de l’appelante. Procédant à sa propre appréciation, la Cour considère que la peine de trente mois prononcée par le Tribunal de première instance, soit vingt mois pour sanctionner le trafic de stupéfiants, augmentés de trois mois pour le blanchiment, de six mois pour les diverses escroqueries et d’un mois supplémentaire pour l’infraction à la loi sur les armes, est adéquate. Le grief d’I.O.________ s’agissant de la quotité de la peine doit donc être rejeté. Cette peine est incompatible avec l’octroi d’un sursis complet (art. 42 CP). La part ferme de la peine privative de liberté – 10 mois – s’avère également adéquate au vu de l’importance de la faute d’une part et du pronostic moyennement favorable.</w:t>
      </w:r>
    </w:p>
    <w:p>
      <w:r>
        <w:t>- 36 - Force est en effet d’admettre que le risque de récidive est relativement important compte tenu de l’absence de prise de conscience de la prévenue et de sa récidive en cours d’enquête. De plus, I.O.________ n’ayant aucune activité professionnelle, sa vie manque de cadre et il est à craindre qu’elle retombe dans la délinquance soit par ennui comme elle l’a exposé, soit pour se permettre un train de vie plus élevé. Il se justifie aussi dans ces conditions de porter le délai d’épreuve à sa durée maximale de cinq ans. L’appel d’I.O.________ doit donc être rejeté. Appel d’A.O.________</w:t>
      </w:r>
    </w:p>
    <w:p>
      <w:r>
        <w:rPr>
          <w:b/>
        </w:rPr>
        <w:t>E. 5.1</w:t>
      </w:r>
    </w:p>
    <w:p>
      <w:r>
        <w:t>L’appelante conclut au prononcé d’une peine privative de liberté d’une quotité inférieure à celle prononcée par le Tribunal criminel, estimant que sa vulnérabilité face à la peine et son bon comportement en prison n’avaient pas été pris en compte par l’autorité de première instance. Elle fait valoir qu’elle est âgée de 59 ans et particulièrement atteinte dans sa santé. A l’appui de son grief, elle produit un rapport médical de la Dresse [...] qui atteste qu’elle souffre d’une maladie complexe de la thyroïde nécessitant un suivi médical régulier.</w:t>
      </w:r>
    </w:p>
    <w:p>
      <w:r>
        <w:rPr>
          <w:b/>
        </w:rPr>
        <w:t>E. 5.2</w:t>
      </w:r>
    </w:p>
    <w:p>
      <w:r>
        <w:t>Comme vu précédemment (cf. supra consid. 4.2.1), dans le cadre de la fixation de la peine (art. 47 CP), le juge doit tenir compte de la vulnérabilité du prévenu face à la peine. En effet, certains délinquants sont plus durement touchés par l'exécution d'une peine privative de liberté, notamment en raison de l'âge ou du mauvais état de santé. La vulnérabilité face à la peine ne doit toutefois être retenue comme circonstance atténuante que si elle rend la sanction considérablement plus dure que pour la moyenne des autres condamnés par exemple en présence de maladies graves, de psychoses claustrophobiques ou de surdimutité (TF 6B_233/2020 du 5 juin 2020 consid. 3.2 ; TF 6B_623/2014 du 5 janvier 2015 consid. 3.6.1 ; Quelo/Rodriguez, in : Commentaire romand, Code pénal I, op. cit., n. 77-75 ad art. 47 CP). Dans certains cas,</w:t>
      </w:r>
    </w:p>
    <w:p>
      <w:r>
        <w:t>- 37 - le grand âge de l'auteur pourra aussi influer sur la sensibilité à la peine. Il a cependant été jugé que l'âge de 70 ans n'était pas suffisamment avancé pour être pris en considération (TF 6B_241/2020 du 6 mai 2020 consid. 4.1 et les références citées ; TF 6B_1463/2019 du 20 février 2020 consid. 2.1.1 et les références citées ; cf. TF 6B_1276/2015 du 29 juin 2016 consid. 2.2.2 concernant la prise en compte de la vulnérabilité d'un condamné âgé de 72 ans et TF 6B_533/2011 du 10 novembre 2011 consid. 7.1 et 7.4 concernant celle d'un condamné âgé de 87 ans). L'effet de la peine sur l'avenir du condamné, en tant qu'élément de prévention spéciale, ne permet toutefois que des corrections marginales, la peine devant toujours rester proportionnée à la faute (TF 6B_233/2020 op. cit. ; TF 6B_1276/2015 du 29 juin 2016 consid. 2.2.2 ; TF 6B_1154/2014 du 31 mai 2016 consid. 3.1 et la référence citée ; 6B_472/2011 du 14 mai 2012 consid. 17.2). Le juge dispose d’un large pouvoir d’appréciation.</w:t>
      </w:r>
    </w:p>
    <w:p>
      <w:r>
        <w:rPr>
          <w:b/>
        </w:rPr>
        <w:t>E. 5.3</w:t>
      </w:r>
    </w:p>
    <w:p>
      <w:r>
        <w:t>Au moment de fixer la peine, les premiers juges ont expressément relevé la « santé fragile » de l’appelante et ses « ennuis de santé » – éléments à décharge aux côtés de son parcours migratoire et sa vie difficile – qu’ils ont mis en balance avec son attitude froide, son absence de collaboration durant l’instruction et de remords sincères, le concours d’infractions et la longue durée du trafic de stupéfiants. L’appelante ne démontre pas qu'il eût fallu accorder un poids plus important à son âge dans les circonstances d'espèce, se contentant d'affirmer que l’autorité de première instance n'en a pas tenu compte. Or, A.O.________ est âgée de 59 ans, ce qui ne représente pas un âge avancé au sens de la jurisprudence précitée qui devrait être pris en considération dans la fixation de la peine. S’agissant de sa santé, si l’on se rapporte aux divers certificats médicaux produits, on constate qu’A.O.________ rencontre des problèmes thyroïdiens aigus depuis 2001, soit largement avant l’époque des faits incriminés et sa détention provisoire. Cette maladie nécessite un suivi régulier par un spécialiste, avec des contrôles sanguins tous les deux mois, et un traitement par prise d’hormones, de calcium et de vitamine D à vie. Le rapport de la Dresse [...] du 23 février 2023 (P. 958/2/5) fait état de graves conséquences que pourrait avoir un</w:t>
      </w:r>
    </w:p>
    <w:p>
      <w:r>
        <w:t>- 38 - dérèglement prolongé de la fonction thyroïdienne mais n’expose pas que le traitement ne pourrait pas être suivi en prison. Il y a lieu d’ailleurs de constater que les rapports de détention n’évoquent aucun problème d’ordre médical et qu’ils indiquent qu’avant de bénéficier de mesures de substitution à la détention, l’appelante fournissait un excellent travail d’atelier. Il apparaît dès lors que cette maladie, pourvu qu’elle soit traitée, ne péjore pas la situation d’A.O.________ de façon telle qu’il y aurait lieu de considérer qu’elle la rendrait particulièrement vulnérable à la peine et que la sanction serait considérablement plus dure pour elle que pour la moyenne des autres condamnés. Ainsi, sans vouloir minimiser les atteintes à la santé de l’appelante, celles-ci ne sont pas à ce point extraordinaires qu’elles justifieraient une réduction de peine à son égard, étant précisé que, si le suivi médical devait contre toute attente ne pas être adapté en prison de manière que sa vie soit mise en danger, il lui appartiendrait de demander à l’Office d’exécution des peines l’interruption de sa détention en application de l’art. 92 CP. Ce premier moyen doit donc être rejeté. Pour le surplus, c’est en vain que l’appelante se prévaut du fait qu'elle a eu un comportement louable en détention. En effet, un bon comportement en prison, dans la mesure où un tel comportement correspond à ce que l'on doit pouvoir attendre d'un détenu constitue un élément neutre du point de vue de la fixation de la peine et n'a pas à être pris en compte dans un sens atténuant (TF 6B_560/2018 du 13 août 2018 consid. 3.6 et les arrêts cités), au même titre que l'absence d'antécédents (ATF 141 IV 61 consid. 6.3.2 ; ATF 136 IV 1 consid. 2.6). Ce grief doit donc également être rejeté.</w:t>
      </w:r>
    </w:p>
    <w:p>
      <w:r>
        <w:rPr>
          <w:b/>
        </w:rPr>
        <w:t>E. 5.4</w:t>
      </w:r>
    </w:p>
    <w:p>
      <w:r>
        <w:t>L’appelante a pris une part très active dans le trafic de stupéfiants de son ex-époux, bien plus que ne l’a fait sa fille I.O.________, ce qu’elle ne conteste pas (cf. jugement pp. 252 à 258 et 345 à 347). Sa position dans le cercle familial, la durée de son activité délictueuse, son mobile, son absence de prise de conscience et le concours d’infractions sont tous des éléments à charge. A décharge, on ne voit pas d’autres éléments que ceux pris en compte par les juges de première instance, à</w:t>
      </w:r>
    </w:p>
    <w:p>
      <w:r>
        <w:t>- 39 - savoir son parcours de vie difficile et les remboursements à l’EVAM. La quotité de la peine arrêtée par le Tribunal criminel – correspondant à trois ans pour le trafic de stupéfiants, sept mois pour l’escroquerie, trois mois pour le blanchiment et deux mois pour l’infraction à la loi sur les étrangers, soit un total de quatre ans – est adéquate et doit être confirmée.</w:t>
      </w:r>
    </w:p>
    <w:p>
      <w:r>
        <w:rPr>
          <w:b/>
        </w:rPr>
        <w:t>E. 6.1</w:t>
      </w:r>
    </w:p>
    <w:p>
      <w:r>
        <w:t>L’appelante conteste son expulsion du territoire suisse, pour le motif qu’elle violerait son droit au respect de la vie familiale en la séparant de ses enfants et petits-enfants, avec lesquels elle entretient une relation particulièrement étroite. Elle plaide pour le surplus le cas de rigueur, dès lors qu’il serait illusoire selon elle qu’un traitement efficace puisse lui être prodigué pour sa maladie thyroïdienne dans son pays d’origine – en raison des infrastructures sanitaires déficientes au Kosovo – et que, faute de famille proche dans ce pays, elle se trouverait dans une situation personnelle grave en cas d’expulsion. Elle estime que les intérêts publics présidant à son expulsion ne l’emporteraient pas sur son intérêt privé à demeurer en Suisse, de telle sorte que cette mesure serait disproportionnée. A titre subsidiaire, elle conclut à ce que l’expulsion soit ramenée à la durée minimale de cinq ans et ne soit pas inscrite au SIS.</w:t>
      </w:r>
    </w:p>
    <w:p>
      <w:r>
        <w:rPr>
          <w:b/>
        </w:rPr>
        <w:t>E. 6.2.1</w:t>
      </w:r>
    </w:p>
    <w:p>
      <w:r>
        <w:t>Selon l’art. 66a CP, l’expulsion du territoire suisse pour une durée de cinq à quinze ans doit être ordonnée à l’égard de l'étranger qui est condamné pour l'une des infractions énumérées aux lettres a à p de cette disposition, quelle que soit la quotité de la peine prononcée à son encontre. Tel est, en particulier, le cas de l’infraction grave à la loi fédérale sur les stupéfiants (art. 66a al. 1 let. o CP). L’art. 66a al. 2 CP dispose que le juge peut exceptionnellement renoncer à une expulsion lorsque celle-ci mettrait l'étranger dans une situation personnelle grave et que les intérêts publics à l'expulsion ne l'emportent pas sur l'intérêt privé de l'étranger à demeurer en Suisse. A</w:t>
      </w:r>
    </w:p>
    <w:p>
      <w:r>
        <w:t>- 40 - cet égard, il tiendra compte de la situation particulière de l'étranger qui est né ou qui a grandi en Suisse. L’art. 66a al. 2 CP est formulé comme une norme potestative (Kannvorschrift),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(ATF 144 IV 332 consid. 3.3 ; TF 6B_124/2020 du 1er mai 2020 consid. 3.2.1 ; TF 6B_1329/2018 du 14 février 2019 consid. 2.2). La loi ne définit pas ce qu'il faut entendre par une « situation personnelle grave » (première condition cumulative), ni n'indique les critères à prendre en compte dans la pesée des intérêts (seconde condition cumulative).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[Constitution fédérale de la Confédération suisse du 18 avril 1999 ; RS 101]) et par le droit international, en particulier l'art. 8 CEDH (Convention de sauvegarde des droits de l’homme et des libertés fondamentales du 4 novembre 1950 ; RS 0.101) (TF 6B_124/2020 du 1er mai 2020 consid. 3.2.1 ; TF 6B_1421/2019 du 12 février 2020 consid. 1.3 ; TF 6B_1024/2019 du 29 janvier 2020 consid. 1.3.2). La clause de rigueur permet de garantir le principe de la proportionnalité (cf. art. 5 al. 2 Cst. ; ATF 146 IV 105 consid. 3.4.2, JdT 2020 IV 247 ; ATF 144 IV 332 consid. 3.3.1). Elle doit être appliquée de manière restrictive (ATF 144 IV 332 consid. 3.3.1). Il convient de s'inspirer des critères énoncés à l'art. 31 OASA (Ordonnance relative à l'admission, au séjour et à l'exercice d'une activité lucrative du 24 octobre 2007 ; RS</w:t>
      </w:r>
    </w:p>
    <w:p>
      <w:r>
        <w:t>- 41 - 142.201). L'al. 1 de cette disposition prévoit qu'une autorisation de séjour peut être octroyée dans les cas individuels d'extrême gravité. L’autorité doit tenir compte notamment de l'intégration du requérant selon les critères définis à l'art. 58a al. 1 LEI (loi fédérale sur les étrangers et l’intégration du 16 décembre 2005 ;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 TF 6B_1417/2019 du 13 mars 2020 consid. 2.1.1). Selon la jurisprudence,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(TF 6B_255/2020 du 6 mai 2020 consid. 1.2.2 ; TF 6B_153/2020 du 28 avril 2020 consid. 1.3.2 ; cf. ATF 134 Il 10 consid. 4.3). Si après une durée de séjour légale d'environ dix ans, on peut généralement partir du principe que les relations sociales dans le pays sont devenues étroites, il peut en être autrement dans certains cas, si l’intégration laisse à désirer (ATF 144 I 266 consid. 3.9). Par ailleurs, un étranger peut se prévaloir de l'art. 8 par. 1 CEDH (et de l'art. 13 Cst.), qui garantit notamment le droit au respect de la vie familiale, pour s'opposer à l'éventuelle séparation de sa famille, pour</w:t>
      </w:r>
    </w:p>
    <w:p>
      <w:r>
        <w:t>- 42 - autant qu'il entretienne une relation étroite et effective avec une personne de sa famille ayant le droit de résider durablement en Suisse (ATF 144 II 1 consid. 6.1 p. 12 ; ATF 139 I 330 consid. 2.1 p. 336 et les références citées). Les relations familiales visées par l'art. 8 par. 1 CEDH sont avant tout celles qui concernent la famille dite nucléaire, soit celles qui existent entre époux ainsi qu'entre parents et enfants mineurs vivant en ménage commun (cf. ATF 144 II 1 consid. 6.1 p. 12 ; ATF 135 I 143 consid. 1.3.2 p. 146 ; TF 6B_825/2020 du 28 octobre 2020 consid. 4.1). Toutefois, même dans un tel cas, selon une abondante jurisprudence, les contacts entre parents et enfants « peuvent s’exercer par le biais des moyens de télécommunication modernes » ou lors de séjours dans le pays d’origine de l’expulsé (cf. not. TF 6B_31/2023 du 13 avril 2023 consid. 2.6 ; TF 6B_1250/2021 du 13 juin 2022 consid. 2.7.3 ; TF 1485/2021 du 11 mai 2022 consid. 2.6.1 in fine ; cf. aussi TF 6B_939/2020 du 4 mars 2021).</w:t>
      </w:r>
    </w:p>
    <w:p>
      <w:r>
        <w:rPr>
          <w:b/>
        </w:rPr>
        <w:t>E. 6.2.2</w:t>
      </w:r>
    </w:p>
    <w:p>
      <w:r>
        <w:t>Selon l'art. 20 de l'Ordonnance sur la partie nationale du Système d'information Schengen (N-SIS) et sur le bureau SIRENE du 8 mars 2013 (RS 362.0), les ressortissants d'Etats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ordonné cette mesure. L'inscription d'un ressortissant d'un Etat tiers dans le Système d'information Schengen s'examine à l'aune des art. 20ss du Règlement (UE) 2018/1861 du Parlement européen et du Conseil du 28 novembre 2018 sur l'établissement, le fonctionnement et l'utilisation du système d'information Schengen dans le domaine des vérifications aux frontières, modifiant la convention d'application de l'accord de Schengen et modifiant et abrogeant le règlement (CE) 1987/2006. Ce règlement, appliqué provisoirement par la Suisse dès le 28 décembre 2019, est entré en vigueur le 11 mai 2021 (RS 0.362.380.085). Aux termes de l'art. 24 al. 1 let. a du règlement (UE) 2018/1861, les Etats membres introduisent un signalement aux fins de non-admission et d'interdiction de séjour lorsqu'un Etat membre a conclu, sur la base d'une évaluation individuelle comprenant une appréciation de la situation personnelle du ressortissant</w:t>
      </w:r>
    </w:p>
    <w:p>
      <w:r>
        <w:t>- 43 - de pays tiers concerné et des conséquences du refus d'entrée et de séjour, que la présence de ce ressortissant de pays tiers sur son territoire représente une menace pour l'ordre public, la sécurité publique ou la sécurité nationale et l'Etat membre a, par conséquent, adopté une décision judiciaire ou administrative de non-admission et d'interdiction de séjour conformément à son droit national et émis un signalement national aux fins de non-admission et d'interdiction de séjour. Selon l'art. 24 al. 2 de ce règlement, ces situations se produisent lorsqu'un ressortissant de pays tiers a été condamné dans un Etat membre pour une infraction passible d'une peine privative de liberté d'au moins un an (a), lorsqu'il existe des raisons sérieuses de croire qu'un ressortissant de pays tiers a commis une infraction pénale grave, y compris une infraction terroriste, ou qu'il existe ces indications claires de son intention de commettre une telle infraction sur le territoire d'un Etat membre (b), ou lorsqu'un ressortissant de pays tiers a contourné ou tenté de contourner le droit national ou de l'Union relatif à l'entrée et au séjour sur le territoire des Etats membres (c). L'inscription ne peut être ordonnée, conformément au principe de proportionnalité consacré à l'art. 21 du règlement (UE) 2018/1861, que si l'opportunité, la pertinence et l'importance de l'affaire le justifient. Un signalement dans le SIS ne peut être effectué que sur la base d'une évaluation individuelle, en tenant compte du principe de proportionnalité. Dans le cadre de cette évaluation, il doit notamment être examiné si la personne concernée représente une menace pour la sécurité et l'ordre publics. Un signalement dans le SIS est toujours proportionné si un tel danger pour la sécurité et l'ordre publics existe. Si les exigences posées aux art. 21 et 24 al. 1 et 2 du règlement sont remplies, il existe une obligation d'inscription dans le Registre SIS (ATF 146 IV 172 consid. 3.2.2, JdT 2020 IV 312 concernant l'ancien règlement (CE) 1987/2006 du Parlement européen et du Conseil du 20 décembre 2006 relatif à l'établissement, le fonctionnement et l'utilisation du système d'information Schengen de deuxième génération).</w:t>
      </w:r>
    </w:p>
    <w:p>
      <w:r>
        <w:rPr>
          <w:b/>
        </w:rPr>
        <w:t>E. 6.3</w:t>
      </w:r>
    </w:p>
    <w:p>
      <w:r>
        <w:t>En l’espèce, force est de constater que, malgré un séjour d’une trentaine d’années en Suisse, l’intégration d’A.O.________ est mauvaise. Elle n’a pas d’activité lucrative, a des poursuites pour près de 40'000</w:t>
      </w:r>
    </w:p>
    <w:p>
      <w:r>
        <w:t>- 44 - francs, est divorcée et vit seule. Elle a certes des contacts occasionnels avec ses enfants, tous majeurs, et ses petits-enfants mais ceux-ci sortent du champ de la protection de l’art. 8 CEDH. S’agissant de sa maladie, elle n’implique pas le suivi d’un traitement lourd nécessitant une hospitalisation, puisque le traitement consiste en la prise de médicaments, avec contrôles sanguins quatre à six fois par année. Même si les soins prodigués au Kosovo ne correspondent pas aux standards suisses, l’appelante pourra avoir accès dans son pays d’origine à tous les soins et traitements rendus nécessaires par son état de santé. S’il est vrai qu’elle a développé une complication relativement rare comme l’atteste sa doctoresse, les affections thyroïdiennes sont fréquentes et le traitement qu’elle doit suivre, soit la prise d’hormones et de vitamines, n’a rien d’extraordinaire. Elle n’a d’ailleurs produit aucun document prouvant que sa vie serait mise en danger en cas d’expulsion au Kosovo. Quant au risque d’aggravation qu’elle fait valoir, il pourra en tout état de cause être atténué voire évité par une préparation au retour adéquate de la part de son thérapeute. Ainsi, rien ne s’oppose à son renvoi au Kosovo où ses deux sœurs, qui y vivent avec leur famille respective, pourront l’accueillir dans un premier temps pour le moins. Au vu de ce qui précède, force est de constater que les conditions d’application de la clause de rigueur ne sont pas réunies, la mesure d’expulsion ne plaçant pas l’appelante dans une situation grave au sens de la jurisprudence. En outre, même si la situation personnelle de l’appelante devait être tenue pour grave, l'intérêt public à l'expulsion l'emporterait sur l'intérêt privé de l'intéressée à demeurer en Suisse. Il est rappelé que la Cour européenne des droits de l'Homme estime que, compte tenu des ravages de la drogue dans la population, les autorités sont fondées à faire preuve d'une grande fermeté à l'encontre de ceux qui contribuent à la propagation de ce fléau (cf. arrêts CourEDH K. M. c. Suisse du 2 juin 2015 [requête n° 6009/10] § 55 ; Dalia c. France du 19 février 1998, Recueil CourEDH 1998-I 76 § 54 ; cf. aussi TF 6B_153/2020 précité consid. 1.4.3). Pour le surplus, la durée de l’expulsion prononcée par les premiers juges, réduite à huit ans, tient largement compte de la situation personnelle d’A.O.________, en particulier de ses liens familiaux avec ses</w:t>
      </w:r>
    </w:p>
    <w:p>
      <w:r>
        <w:t>- 45 - enfants et petits-enfants, et s'avère conforme au principe de la proportionnalité découlant des art. 5 al. 2 Cst. et 8 par. 2 CEDH. Quant à l'inscription au SIS, celle-ci va de soi, dès lors que, dans le cadre de l’évaluation de la situation personnelle d’A.O.________ en vue de l’éventuelle application de la clause de rigueur à l’expulsion, il a été considéré que l’appelante représentait une menace pour l’ordre et la sécurité publics, menace supérieure à son intérêt personnel à demeurer en Suisse. Ainsi, les conditions de l’art. 24 al. 1 let. a et al. 2 let. a du règlement (UE) 2018/1861 sont remplies, dès lors que l’appelante représente une menace pour la sécurité et l’ordre publics et qu’elle est condamnée pour une infraction passible d’une peine privative de liberté de plus d’un an. La solidarité européenne et la lutte continentale contre le trafic de stupéfiants justifient ainsi pleinement de confirmer l'inscription au SIS, qui s’avère proportionnée vu la gravité des faits pour lesquels l’appelante est condamnée. En définitive, l’appel d’A.O.________ doit être rejeté et le jugement entrepris intégralement confirmé.</w:t>
      </w:r>
    </w:p>
    <w:p>
      <w:r>
        <w:rPr>
          <w:b/>
        </w:rPr>
        <w:t>E. 7</w:t>
      </w:r>
    </w:p>
    <w:p>
      <w:r>
        <w:t>Le défenseur d’office d’I.O.________ a produit une liste d’opérations faisant état d’une activité nécessaire d’avocat de 7 heures et 30 minutes, à laquelle il faut ajouter 2 heures et 30 minutes d’audience, soit 10 heures au total. Au tarif horaire de 180 fr. (cf. art. 2 al. 1 RAJ [règlement sur l'assistance judiciaire en matière civile du 7 décembre 2010 ; BLV 211.02.3]), l’indemnité de défenseur d'office qui doit être allouée pour la procédure d'appel s’élève donc à 2’106 fr. 60, soit des honoraires de 1'800 fr., auxquels s’ajoutent les débours forfaitaires de 36 fr., une vacation de 120 fr. et la TVA sur le tout par 150 fr. 60. Le défenseur d’office d’A.O.________ a produit une liste d’opérations faisant état d’une activité nécessaire d’avocat de 13 heures et 35 minutes, à laquelle il faut ajouter 2 heures et 30 minutes d’audience. Au tarif horaire de 180 fr. (cf. art. 2 al. 1 RAJ [règlement sur l'assistance judiciaire en matière civile du 7 décembre 2010 ; BLV 211.02.3]),</w:t>
      </w:r>
    </w:p>
    <w:p>
      <w:r>
        <w:t>- 46 - l’indemnité de défenseur d'office qui doit être allouée pour la procédure d'appel s’élève donc à 3’309 fr. 50, soit des honoraires de 2’895 fr., auxquels s’ajoutent les débours forfaitaires à hauteur de 2% (et non pas 5% comme indiqué sur la note d’honoraires) (art. 3bis al. 1 RAJ [règlement du 7 décembre 2010 sur l'assistance judiciaire en matière civile ; BLV 211.02.3], applicable par renvoi de l’art. 26b TFIP [tarif des frais de procédure et indemnités en matière pénale du 28 septembre 2010 ; BLV 312.03.1]), soit 57 fr. 90, une vacation de 120 fr. et la TVA sur le tout par 236 fr. 60. Vu l’issue de la cause, les frais de la procédure d’appel, par 3’925 fr. 50 constitués des émoluments de jugement et d’audience, par 4’220 fr. (art. 21 al. 1 et 2 TFIP) et des indemnités dues aux défenseurs d’office, seront mis à la charge d’A.O.________ et d’I.O.________, qui succombent, par moitié chacune s’agissant des frais communs (art. 428 al. 1 CPP), chacune supportant en outre les frais de son défenseur. A.O.________ et I.O.________ seront tenues de rembourser à l’Etat le montant des indemnités en faveur de leur défenseur d’office respectif dès que leur situation financière le permettra.</w:t>
      </w:r>
    </w:p>
    <w:p>
      <w:r>
        <w:rPr>
          <w:b/>
        </w:rPr>
        <w:t>E. 8</w:t>
      </w:r>
    </w:p>
    <w:p>
      <w:r>
        <w:t>Le dispositif du jugement de la Cour d’appel communiqué aux parties le 22 août 2023 indique à tort la lettre a de l’art. 19 al. 2 LStup s’agissant d’I.O.________. Le dispositif sera rectifié d’office en application de l’art. 83 CPP, en indiquant uniquement les lettres b et c de l’al. 2 dudit article.</w:t>
      </w:r>
    </w:p>
    <w:p>
      <w:r>
        <w:t>- 47 -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