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PE17.011688 vom 31. Oktober 2017</w:t>
      </w:r>
    </w:p>
    <w:p>
      <w:r>
        <w:t>VD Tribunal cantonal, 2017-10-31, FR</w:t>
      </w:r>
    </w:p>
    <w:p>
      <w:r>
        <w:rPr>
          <w:b/>
        </w:rPr>
        <w:t xml:space="preserve">Quelle: </w:t>
      </w:r>
      <w:r>
        <w:t>https://mcp.opencaselaw.ch/entscheid/vd_gerichte_PE17.011688</w:t>
      </w:r>
    </w:p>
    <w:p>
      <w:r>
        <w:t>FR: VD_GERICHTE PE17.011688 du 31 octobre 2017</w:t>
      </w:r>
    </w:p>
    <w:p>
      <w:r>
        <w:t>IT: VD_GERICHTE PE17.011688 del 31 ottobre 2017</w:t>
      </w:r>
    </w:p>
    <w:p>
      <w:pPr>
        <w:pStyle w:val="Heading2"/>
      </w:pPr>
      <w:r>
        <w:t>Erwägungen</w:t>
      </w:r>
    </w:p>
    <w:p>
      <w:r>
        <w:rPr>
          <w:b/>
        </w:rPr>
        <w:t>E. 1.1.1</w:t>
      </w:r>
    </w:p>
    <w:p>
      <w:r>
        <w:t>Selon l'art. 410 al. 1 let. a CPP, toute personne lésée par un jugement ou une ordonnance pénale entrés en force peut en demander la révision s'il existe des faits ou des moyens de preuve qui étaient inconnus de l'autorité inférieure et qui sont de nature à motiver l'acquittement ou une condamnation sensiblement moins sévère ou plus sévère du condamné. Les faits ou moyens de preuve sont inconnus lorsque le juge n'en a pas eu connaissance au moment où il s'est prononcé, c'est-à-dire lorsqu'ils ne lui ont pas été soumis sous quelque forme que ce soit (ATF 137 IV 59 consid. 5.1.2 p. 66 s.; ATF 130 IV 72 consid. 1 p. 73; TF 6B_1110/2019 du 18 décembre 2019 consid. 1.1.1; TF 6B_342/2019 du 9 juillet 2019 consid. 1.1). Ils sont sérieux lorsqu'ils sont propres à ébranler les constatations de fait sur lesquelles se fonde la condamnation et que l'état de fait ainsi modifié rend possible un jugement sensiblement plus favorable au condamné (ATF 145 IV 197 consid. 1.1 p. 199; ATF 137 IV 59 consid. 5.1.4 p. 68).</w:t>
      </w:r>
    </w:p>
    <w:p>
      <w:r>
        <w:rPr>
          <w:b/>
        </w:rPr>
        <w:t>E. 1.1.2</w:t>
      </w:r>
    </w:p>
    <w:p>
      <w:r>
        <w:t>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Selon l'art. 412 al. 2 CPP, la juridiction d'appel n'entre pas en matière si la demande de révision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lorsque les motifs de révision invoqués sont manifestement non</w:t>
      </w:r>
    </w:p>
    <w:p>
      <w:r>
        <w:t>- 6 - vraisemblables ou infondés (ATF 143 IV 122 consid. 3.5 p. 129) ou encore lorsque la demande de révision apparaît abusive (TF 6B_742/2020 du 19 novembre 2020 consid. 1.2; TF 6B_1110/2019 précité consid. 1.1.2 et les références citées; TF 6B_1126/2019 du 4 novembre 2019 consid. 1.1; TF 6B_1170/2015 du 10 octobre 2016 consid. 2). La révision ne doit pas servir à remettre sans cesse en cause une décision entrée en force, à détourner les dispositions légales sur les délais de recours ou celles sur la restitution des délais, voire à introduire des faits non présentés dans le premier procès en raison d'une négligence procédurale (ATF 145 IV 197 consid. 1.1 p. 199; ATF 130 IV 72 consid. 2.2 p. 74; TF 6B_273/2020 du 27 avril 2020 consid. 1.2 et les références citées).</w:t>
      </w:r>
    </w:p>
    <w:p>
      <w:r>
        <w:rPr>
          <w:b/>
        </w:rPr>
        <w:t>E. 1.1.3</w:t>
      </w:r>
    </w:p>
    <w:p>
      <w:r>
        <w:t>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(ATF 130 IV 72 consid. 2.3 p. 75 s.; TF 6B_662/2019 du 23 août 2019 consid. 1.1).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w:t>
      </w:r>
    </w:p>
    <w:p>
      <w:r>
        <w:t>- 7 - raisons de se prévaloir à cette époque (ATF 145 IV 197 consid. 1.1 p. 199; ATF 130 IV 72 consid. 2.3 p. 75 s.; TF 6B_662/2019 précité consid. 1.1). L'abus de droit ne sera cependant admis qu'avec retenue. Il s'agit, dans chaque cas d'examiner, au regard des circonstances de l'espèce, si la demande tend à contourner les voies de droit ordinaires (ATF 145 IV 197 consid. 1.1 p. 199; ATF 130 IV 72 consid. 2.2 p. 74 et consid. 2.4 p. 76; TF 6B_273/2020 précité consid. 1.2).</w:t>
      </w:r>
    </w:p>
    <w:p>
      <w:r>
        <w:rPr>
          <w:b/>
        </w:rPr>
        <w:t>E. 1.2</w:t>
      </w:r>
    </w:p>
    <w:p>
      <w:r>
        <w:t>Aux termes de l’art. 88 al. 4 CPP, les ordonnances de classement et les ordonnances pénales sont réputées notifiées même en l’absence d’une publication. Le Tribunal fédéral a eu l'occasion de souligner à plusieurs reprises le caractère potentiellement problématique de cette disposition au regard des garanties déduites des art. 29 Cst., 29a Cst. et 6 ch. 1 CEDH. Dans un arrêt récent (TF 6B_1061/2019 du 28 mai 2020), il a relevé que, dans le cas d’espèce, l'application de l'art. 88 al. 4 CPP s’inscrivait dans une procédure où, à teneur du jugement querellé, le recourant avait été entendu à une seule reprise en qualité de prévenu par la police, dans la foulée du contrôle dont il avait fait l'objet en date du 22 avril 2018, qu’il n’y avait pas eu d’audition ultérieure du recourant par le ministère public, que l'ordonnance en cause avait été immédiatement rendue, sans ouverture formelle d'instruction (cf. art. 309 al. 4 CPP cum art. 352 CPP) et que le recourant n'avait pas eu connaissance de l'ordonnance pénale en cause, alors qu'au préalable, il n'avait jamais eu l'occasion de faire valoir ses droits au cours d'une instruction (art. 308 ss CPP). Partant, on ne pouvait qualifier d'abusive la démarche du recourant, compte tenu des spécificités procédurales du cas d'espèce. L'application conjuguée de l'art. 88 al. 4 CPP et de l'art. 412 al. 2 CPP générait une situation dans laquelle le recourant se trouvait doublement pénalisé, tout en ayant été privé de toute faculté de faire valoir ses droits. En outre, bien que la jurisprudence se montre restrictive quant à la recevabilité d'une demande de révision ayant pour objet une ordonnance pénale, celle-ci supposait, pour imputer au requérant un comportement abusif, que l'intéressé eut renoncé en</w:t>
      </w:r>
    </w:p>
    <w:p>
      <w:r>
        <w:t>- 8 - connaissance de cause à faire valoir ses moyens par le biais de l'opposition, avant de revenir sur cette position pour formuler une demande de révision.</w:t>
      </w:r>
    </w:p>
    <w:p>
      <w:r>
        <w:rPr>
          <w:b/>
        </w:rPr>
        <w:t>E. 1.3</w:t>
      </w:r>
    </w:p>
    <w:p>
      <w:r>
        <w:t>Compte tenu des spécificités procédurales du cas d’espèce, on doit admettre que la requérante n’agit pas de manière abusive. Elle n’a pas eu connaissance des ordonnances litigieuses, lorsque celles-ci ont été rendues. En effet, elles lui ont été adressées par lettres recommandées à [...], à [...], les deux plis étant revenus en retour avec la mention « destinataire introuvable à l’adresse indiquée ». Il ne résulte pas du dossier que le Ministère public aurait entendu la prévenue avant le prononcé des ordonnances querellées, ni qu’il y aurait eu une ouverture formelle d’instruction. Ainsi, la requérante n’a jamais eu concrètement connaissance des ordonnances pénales, ni eu l'occasion de faire valoir ses droits au cours d'une instruction. Sa demande de révision est par conséquent recevable.</w:t>
      </w:r>
    </w:p>
    <w:p>
      <w:r>
        <w:rPr>
          <w:b/>
        </w:rPr>
        <w:t>E. 2</w:t>
      </w:r>
    </w:p>
    <w:p>
      <w:r>
        <w:t>La requérante conclut à l’annulation des ordonnances pénales des 12 juillet 2017 et 31 octobre 2017 et à sa libération des chefs de prévention d’entrée illégale, de séjour illégal et d’exercice d’une activité lucrative sans autorisation. Elle explique avoir été victime de traite d’êtres humains et exploitée à des fins sexuelles entre juin 2016 et l’été 2019 par une dénommée [...] ou [...], sous la menace d’une pratique religieuse nommée « juju ». Elle relève avoir été dans une situation de vulnérabilité ne lui permettant pas de dénoncer les faits jusqu’à sa prise en charge par l’Association Astrée en juin 2020. La requérante produit plusieurs pièces, notamment la plainte pénale qu’elle a déposée le 16 juin 2020 (P. 14/2/8, déjà citée), l’attestation de prise en charge délivrée le 14 juillet 2020 par l’association Astrée, qui l’a reconnue comme victime de traite, soit de prostitution forcée (P. 14/2/9), et un rapport d’information du Bureau européen d’appui en matière d’asile (EASO), daté d’octobre 2015, portant sur la traite des</w:t>
      </w:r>
    </w:p>
    <w:p>
      <w:r>
        <w:t>- 9 - femmes à des fins sexuelles au Nigeria, pays d’origine de l’intéressée (P. 14/2/10).</w:t>
      </w:r>
    </w:p>
    <w:p>
      <w:r>
        <w:rPr>
          <w:b/>
        </w:rPr>
        <w:t>E. 3.1.1</w:t>
      </w:r>
    </w:p>
    <w:p>
      <w:r>
        <w:t>Selon l’art. 413 al. 2 CPP, si la juridiction d’appel constate que les motifs de révision sont fondés, elle annule partiellement ou entièrement la décision attaquée et renvoie la cause pour nouveau traitement et nouveau jugement à l’autorité qu’elle désigne (let. a) ou elle rend elle-même une nouvelle décision si l’état du dossier le permet (let. b).</w:t>
      </w:r>
    </w:p>
    <w:p>
      <w:r>
        <w:rPr>
          <w:b/>
        </w:rPr>
        <w:t>E. 3.1.2</w:t>
      </w:r>
    </w:p>
    <w:p>
      <w:r>
        <w:t>Aux termes de l’art. 115 al. 1 LEtr (selon l’intitulé légal en vigueur jusqu’au 31 décembre 2018, applicable aux faits incriminés en droit intertemporel; depuis le 1er janvier 2019 : Loi fédérale sur les étrangers et l’intégration, LEI), est puni d’une peine privative de liberté d’un an au plus ou d’une peine pécuniaire quiconque contrevient aux dispositions sur l’entrée en Suisse (let. a), séjourne illégalement en Suisse, notamment après l’expiration de la durée du séjour non soumis à autorisation ou du séjour autorisé (let. b), ou exerce une activité lucrative sans autorisation (let. c).</w:t>
      </w:r>
    </w:p>
    <w:p>
      <w:r>
        <w:rPr>
          <w:b/>
        </w:rPr>
        <w:t>E. 3.2</w:t>
      </w:r>
    </w:p>
    <w:p>
      <w:r>
        <w:t>A la lecture des pièces déposées par la requérante, on doit admettre que les conditions de l’art. 410 al. 1 let. a CPP sont réunies, de sorte que la demande de révision doit être admise et les ordonnances attaquées annulées. En effet, le fait que l’intéressée ait pu être victime de traite constitue un fait nouveau et sérieux, qui doit amener à un nouvel examen de la cause. Les motifs de révision sont ainsi fondés. Il est en revanche prématuré de se prononcer sur le rescisoire, soit de statuer sur la réalisation ou non des infractions à la LEtr reprochées à la requérante. Il appartiendra ainsi au Ministère public d’examiner les faits nouveaux allégués et leurs conséquences éventuelles sur les infractions.</w:t>
      </w:r>
    </w:p>
    <w:p>
      <w:r>
        <w:t>- 10 -</w:t>
      </w:r>
    </w:p>
    <w:p>
      <w:r>
        <w:rPr>
          <w:b/>
        </w:rPr>
        <w:t>E. 4</w:t>
      </w:r>
    </w:p>
    <w:p>
      <w:r>
        <w:t>En conclusion, la demande de révision doit être admise, les ordonnances pénales des juillet 2017 et 31 octobre 2017 annulées et le dossier de la cause renvoyé au Ministère public de l’arrondissement de Lausanne pour nouvelle décision.</w:t>
      </w:r>
    </w:p>
    <w:p>
      <w:r>
        <w:rPr>
          <w:b/>
        </w:rPr>
        <w:t>E. 5</w:t>
      </w:r>
    </w:p>
    <w:p>
      <w:r>
        <w:t>La requérante n’ayant pas de moyens financiers, n’ayant aucune connaissance juridique et ne parlant pas français, il convient d’admettre sa requête d’assistance judiciaire et de désigner Me Coralie Germond en qualité de défenseur d’office pour la présente procédure de révision. Vu l'issue de la cause, les frais de la présente procédure de révision, constitués en l’espèce de l'émolument de décision, ainsi que de l’indemnité allouée au défenseur d’office de la requérante, seront laissés à la charge de l’Etat (art. 423 al. 1 CPP). L’indemnité en faveur du défenseur d’office (art. 422 al. 1 et al. 2 let. a CPP) doit être arrêtée sur la base de la liste d’opérations produite (P. 18/1), à deux réserves près cependant : en effet, il y a lieu de supprimer le poste d’activité « Bordereau de pièces », pris en compte pour 20 minutes dans la liste, qui relève d’une pure tâche de secrétariat, et de retrancher dix minutes du poste « Lettre au Tribunal et à la Procureure ». Toutes opérations utiles confondues, les honoraires doivent dès lors être fondés sur une durée d’activité d’avocate de huit heures et sur une durée d’activité d’avocate stagiaire de dix minutes. Il y a lieu d’ajouter aux honoraires, par 1’458 fr. 35 (1'440 fr. + 18 fr. 35), des débours forfaitaires à concurrence de 2 % (art. 3bis al. 1 RAJ [Règlement du 7 décembre 2010 sur l'assistance judiciaire en matière civile; BLV 211.02.3], applicable par renvoi de l’art. 26b TFIP), plus la TVA sur le tout. L’indemnité s’élève donc à 1'602 fr. 05, débours et TVA compris.</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