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PE17.010920 vom 18. Mai 2021</w:t>
      </w:r>
    </w:p>
    <w:p>
      <w:r>
        <w:t>VD Tribunal cantonal, 2021-05-18, FR</w:t>
      </w:r>
    </w:p>
    <w:p>
      <w:r>
        <w:rPr>
          <w:b/>
        </w:rPr>
        <w:t xml:space="preserve">Quelle: </w:t>
      </w:r>
      <w:r>
        <w:t>https://mcp.opencaselaw.ch/entscheid/vd_gerichte_PE17.010920</w:t>
      </w:r>
    </w:p>
    <w:p>
      <w:r>
        <w:t>FR: VD_GERICHTE PE17.010920 du 18 mai 2021</w:t>
      </w:r>
    </w:p>
    <w:p>
      <w:r>
        <w:t>IT: VD_GERICHTE PE17.010920 del 18 maggio 2021</w:t>
      </w:r>
    </w:p>
    <w:p>
      <w:pPr>
        <w:pStyle w:val="Heading2"/>
      </w:pPr>
      <w:r>
        <w:t>Erwägungen</w:t>
      </w:r>
    </w:p>
    <w:p>
      <w:r>
        <w:rPr>
          <w:b/>
        </w:rPr>
        <w:t>E. 1</w:t>
      </w:r>
    </w:p>
    <w:p>
      <w:r>
        <w:t>CPP).</w:t>
      </w:r>
    </w:p>
    <w:p>
      <w:r>
        <w:rPr>
          <w:b/>
        </w:rPr>
        <w:t>E. 2</w:t>
      </w:r>
    </w:p>
    <w:p>
      <w:r>
        <w:t>- 4 -</w:t>
      </w:r>
    </w:p>
    <w:p>
      <w:r>
        <w:rPr>
          <w:b/>
        </w:rPr>
        <w:t>E. 2.1</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ou du moins coprotégé par la norme pénale qui a été enfreinte (cf. notamment ATF 143 IV 77 consid. 2.2; ATF 141 IV 454 consid. 2.3.1; ATF 140 IV 155, JdT 2015 IV 107 consid. 3.2; Garbarski, Le lésé et la partie plaignante en procédure pénale : état des lieux de la jurisprudence récente, SJ 2017 II pp. 125 ss, spéc. p. 126; Perrier Depeursinge, Code de procédure pénale suisse, Commentaire romand, 2e éd., Bâle 2019, nn. 6 et 8 ad art. 115 CPP et les références). Pour être directement touché, le lésé doit subir une atteinte en rapport de causalité directe avec l’infraction poursuivie, ce qui exclut les dommages par ricochet (Garbarski, op. cit., p. 126, et les références en note 7).</w:t>
      </w:r>
    </w:p>
    <w:p>
      <w:r>
        <w:rPr>
          <w:b/>
        </w:rPr>
        <w:t>E. 2.2</w:t>
      </w:r>
    </w:p>
    <w:p>
      <w:r>
        <w:t>L'art. 382 al. 1 CPP soumet la qualité pour recourir à l'existence d'un intérêt juridiquement protégé à l'annulation ou à la modification de la décision litigieuse. L’intérêt doit être juridique et direct. En règle générale, seul peut se prévaloir d'une atteinte directe le titulaire du bien juridique protégé par la disposition pénale qui a été enfreinte (ATF 141 IV 1 consid. 3.1 p. 5 s.).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w:t>
      </w:r>
    </w:p>
    <w:p>
      <w:r>
        <w:t>- 5 - les intérêts privés ne sont atteints qu'indirectement par une infraction qui ne lèse que des intérêts publics, n'est pas lésé au sens du droit de procédure pénale (ATF 141 IV 454 consid. 2.3.1 p. 457).</w:t>
      </w:r>
    </w:p>
    <w:p>
      <w:r>
        <w:rPr>
          <w:b/>
        </w:rPr>
        <w:t>E. 2.3</w:t>
      </w:r>
    </w:p>
    <w:p>
      <w:r>
        <w:t>L’art. 303 CP (Code pénal; RS 311.0) dispose que celui qui aura dénoncé à l’autorité, comme auteur d’un crime ou d’un délit, une personne qu’il savait innocente, en vue de faire ouvrir contre elle une poursuite pénale, et celui qui, de toute autre manière, aura ourdi des machinations astucieuses en vue de provoquer l’ouverture d’une poursuite pénale contre une personne qu’il savait innocente sera puni d’une peine privative de liberté ou d’une peine pécuniaire. Le bien juridiquement protégé en vertu de l’infraction de l’rt. 303 CP est double : il s’agit de l’honneur des particuliers, d’une part, et d’une saine administration de la justice, d’autre part (cf. Dupuis/Moreillon/Piguet/Berger/Mazou/Rodigari [éd.], Petit commentaire CP, 2e éd., Bâle 2017, n. 1 ad art. 303 CP et les réf. citées).</w:t>
      </w:r>
    </w:p>
    <w:p>
      <w:r>
        <w:rPr>
          <w:b/>
        </w:rPr>
        <w:t>E. 3</w:t>
      </w:r>
    </w:p>
    <w:p>
      <w:r>
        <w:t>En l’espèce, R.________ n’a plus la qualité de partie plaignante dans la procédure diligentée contre V.________ pour dénonciation calomnieuse. En effet, lors de l’audience devant le Tribunal de police du 7 mai 2020, les parties ont, comme déjà relevé, signé une convention qui prévoit, à son chiffre VI, qu’elles « retirent toutes les plaintes déposées à ce jour l’un contre l’autre ». Le 28 mai 2020, l’avocat du prévenu a informé la Procureure du fait que les parties avaient trouvé un accord amiable et que son client retirait la plainte pour calomnie déposée à l’encontre de V.________. Comme la Procureure l’avait par ailleurs indiqué dans ses déterminations sur la demande de récusation déposée contre elle par R.________, c’est par erreur que ce dernier avait reçu un avis de prochaine clôture. Du reste, l’ordonnance de classement du 21 janvier 2021 lui a été adressée pour information seulement. Il s’ensuit que, dès lors qu’il a retiré sa plainte, R.________ n’a plus d’intérêt direct à la modification de la décision entreprise. Il ne saurait au demeurant revenir, par le biais d’un recours, sur son retrait de plainte, qui est irrévocable (art. 33 al. 2 CP).</w:t>
      </w:r>
    </w:p>
    <w:p>
      <w:r>
        <w:t>- 6 - Au surplus, l’intérêt à une saine administration de la justice, dont se prévaut le recourant et que protège l’art. 303 CP, est un intérêt public et non un intérêt privé. Il s’ensuit que R.________ n’a pas à ce titre la qualité de lésé au sens de l’art. 104 CPP. Partant, il n’a pas la qualité pour recourir selon l’art. 382 al. 1 CPP.</w:t>
      </w:r>
    </w:p>
    <w:p>
      <w:r>
        <w:rPr>
          <w:b/>
        </w:rPr>
        <w:t>E. 4</w:t>
      </w:r>
    </w:p>
    <w:p>
      <w:r>
        <w:t>Il résulte de ce qui précède que le recours doit être déclaré irrecevable sans échange d’écritures (art. 390 al. 2 CPP). Les frais de la procédure de recours, par 660 fr. (art. 20 al. 1 TFIP [tarif des frais de procédure et indemnités en matière pénale du 28 septembre 2010; BLV 312.03.1]), seront mis à la charge du recourant, qui succombe (art. 428 al. 1 CPP). Le montant de 550 fr. déjà versé par celui-ci à titre de sûretés sera imputé sur les frais mis à sa charge (art. 383 al. 1 CPP; CREP 8 mars 2021/261; CREP 8 octobre 2020/771 et les réf. cit.). Par ces motifs, la Chambre des recours pénale prononce : I. Le recours est irrecevable. II. Les frais d’arrêt, par 660 fr. (six cent soixante francs), sont mis à la charge de R.________. III. Le montant de 550 fr. (cinq cent cinquante francs) déjà versé par le recourant à titre de sûretés est imputé sur les frais mis à sa charge au chiffre II ci-dessus. IV. L’arrêt est exécutoire. Le président : Le greffier :</w:t>
      </w:r>
    </w:p>
    <w:p>
      <w:r>
        <w:t>- 7 - Du Le présent arrêt, dont la rédaction a été approuvée à huis clos, est notifié, par l'envoi d'une copie complète, à : - M. R.________, - Ministère public central, et communiqué à : - Mme la Procureure du Ministère public de l’arrondissement de Lausanne, - Me Alexandre Saillet, avocat (pour V.________), - Me Thomas Collomb, avocat,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