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PE17.010868 vom 3. Oktober 2017</w:t>
      </w:r>
    </w:p>
    <w:p>
      <w:r>
        <w:t>VD Tribunal cantonal, 2017-10-03, FR</w:t>
      </w:r>
    </w:p>
    <w:p>
      <w:r>
        <w:rPr>
          <w:b/>
        </w:rPr>
        <w:t xml:space="preserve">Quelle: </w:t>
      </w:r>
      <w:r>
        <w:t>https://mcp.opencaselaw.ch/entscheid/vd_gerichte_PE17.010868</w:t>
      </w:r>
    </w:p>
    <w:p>
      <w:r>
        <w:t>FR: VD_GERICHTE PE17.010868 du 3 octobre 2017</w:t>
      </w:r>
    </w:p>
    <w:p>
      <w:r>
        <w:t>IT: VD_GERICHTE PE17.010868 del 3 ottobre 2017</w:t>
      </w:r>
    </w:p>
    <w:p>
      <w:pPr>
        <w:pStyle w:val="Heading2"/>
      </w:pPr>
      <w:r>
        <w:t>Erwägungen</w:t>
      </w:r>
    </w:p>
    <w:p>
      <w:r>
        <w:rPr>
          <w:b/>
        </w:rPr>
        <w:t>E. 6</w:t>
      </w:r>
    </w:p>
    <w:p>
      <w:r>
        <w:t>L’appelant conteste l’infraction à la LEtr, expliquant être inscrit au contrôle des habitants de la ville de Lausanne sous son nom de mariage et être dans l’attente d’une autorisation de séjour.</w:t>
      </w:r>
    </w:p>
    <w:p>
      <w:r>
        <w:rPr>
          <w:b/>
        </w:rPr>
        <w:t>E. 6.1</w:t>
      </w:r>
    </w:p>
    <w:p>
      <w:r>
        <w:t>L’art. 115 al. 1 let. b LEtr punit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La durée du séjour soumis à autorisation résulte de l'autorisation.</w:t>
      </w:r>
    </w:p>
    <w:p>
      <w:r>
        <w:t>- 14 - Son écoulement conduit à l'illicéité du séjour, à moins que l'étranger en demande la prolongation.</w:t>
      </w:r>
    </w:p>
    <w:p>
      <w:r>
        <w:rPr>
          <w:b/>
        </w:rPr>
        <w:t>E. 6.2</w:t>
      </w:r>
    </w:p>
    <w:p>
      <w:r>
        <w:t>L’appelant a déposé une demande d’asile en Suisse le 7 avril 2012, laquelle a été rejetée le 7 mai 2012. Le Service de la population (ci- après : SPOP) a autorisé O.________ à séjourner en Suisse pour une durée de six mois dès le 10 juin 2015 (P. 6). Il résulte de l’examen du dossier que, le 22 mai 2017, l’appelant a été refoulé en Belgique pour la troisième fois. Malgré une interdiction d’entrée en Suisse notifiée le 22 avril 2016 et valable jusqu’en 2022, il est revenu sans droit en Suisse et y a séjourné sans autorisation jusqu’à son interpellation le 11 juin 2017. Lors des débats de première instance, l’appelant a affirmé avoir requis une autorisation de séjour auprès du SPOP et que l’octroi d’un permis serait à l’étude. Il n’en demeure pas moins que du 22 mai 2017 au</w:t>
      </w:r>
    </w:p>
    <w:p>
      <w:r>
        <w:rPr>
          <w:b/>
        </w:rPr>
        <w:t>E. 11</w:t>
      </w:r>
    </w:p>
    <w:p>
      <w:r>
        <w:t>juin 2017, O.________ ne disposait d’aucune autorisation pour séjourner en Suisse, ce qu’il a d’ailleurs admis à la police lors de son interpellation, ainsi que lors des débats de première instance. Le fait qu’il soit inscrit au contrôle des habitants ne constitue pas davantage une autorisation de séjour. Partant, la condamnation de O.________ pour violation de la LEtr doit être confirmée. 7. L’appelant n’a pas contesté formellement la quotité de la peine infligée. Vérifiée d’office, la sanction, fixée en application des critères légaux à charge et à décharge, et conformément à la culpabilité de O.________, ne prête pas le flanc à la critique et doit être confirmée, la cour de céans faisant sienne la motivation complète et convaincante du premier juge (art. 82 al. 4 CPP ; jugement p. 11). Par ailleurs, le nouveau droit des sanctions en vigueur au 1er janvier 2018 n’est pas plus favorable, in concreto, de sorte qu’il y a lieu d’appliquer l’ancien droit. La peine privative de liberté ferme de 60 jours prononcée en première instance doit ainsi être confirmée.</w:t>
      </w:r>
    </w:p>
    <w:p>
      <w:r>
        <w:t>- 15 - 8. En définitive, la requête en restitution de délai doit être admise et l’appel interjeté par O.________ doit être rejeté, le jugement entrepris étant intégralement confirmé. Vu l’issue de la cause, les frais de la procédure d’appel, constitués en l’espèce de l’émolument du présent jugement, par 1'610 fr. (art. 21 al. 1 TFIP [Tarif des frais de procédure et indemnités en matière pénale du 28 septembre 2010 ; RSV 312.03.1]), doivent être mis à la charge de O.________.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