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PE17.010862 vom 22. Februar 2018</w:t>
      </w:r>
    </w:p>
    <w:p>
      <w:r>
        <w:t>VD Tribunal cantonal, 2018-02-22, FR</w:t>
      </w:r>
    </w:p>
    <w:p>
      <w:r>
        <w:rPr>
          <w:b/>
        </w:rPr>
        <w:t xml:space="preserve">Quelle: </w:t>
      </w:r>
      <w:r>
        <w:t>https://mcp.opencaselaw.ch/entscheid/vd_gerichte_PE17.010862</w:t>
      </w:r>
    </w:p>
    <w:p>
      <w:r>
        <w:t>FR: VD_GERICHTE PE17.010862 du 22 février 2018</w:t>
      </w:r>
    </w:p>
    <w:p>
      <w:r>
        <w:t>IT: VD_GERICHTE PE17.010862 del 22 febbraio 2018</w:t>
      </w:r>
    </w:p>
    <w:p>
      <w:pPr>
        <w:pStyle w:val="Heading2"/>
      </w:pPr>
      <w:r>
        <w:t>Erwägungen</w:t>
      </w:r>
    </w:p>
    <w:p>
      <w:r>
        <w:rPr>
          <w:b/>
        </w:rPr>
        <w:t>E. 7</w:t>
      </w:r>
    </w:p>
    <w:p>
      <w:r>
        <w:t>mois (soit 210 jours), sous déduction de 258 jours de détention avant jugement, et a subi 23 jours de détention dans des conditions illicites, de sorte que 12 jours ont été déduits de la peine privative de liberté précitée, à titre de réparation morale. Cela étant, N.________ a subi 48 jours de détention injustifiée excédant sa condamnation et a, par conséquent, le droit d’être indemnisé au sens de l’art. 431 al. 2 CPP, aucune des conditions visées par l’al. 3 de cette disposition n’étant réalisée. Par</w:t>
      </w:r>
    </w:p>
    <w:p>
      <w:r>
        <w:t>- 17 - ailleurs, on ne saurait déduire les 23 jours de détention subis dans des conditions illicites, dès lors que l’intéressé a été mis au bénéfice d’un sursis, de sorte que ces jours devront également être indemnisés. A cet égard, les constats qui précèdent sont suffisants. Ainsi, contrairement à ce que prétend le Ministère public dans ses déterminations, il importe peu que la détention provisoire n’ait pas été contestée, ni encore que la procédure ait été allongée par le délai de reddition de l’expertise psychiatrique, qui a finalement bénéficié au prévenu. L’appelant requiert une indemnité de 150 fr. par jour de détention illicite ou injustifiée. Il faut toutefois admettre, avec le Ministère public, que ce montant est excessif. D’une part, il n’est pas démontré que la détention injustifiée aurait eu des répercussions particulières sur l’intéressé, sa réputation ou son entourage. Il faut ainsi constater que ses conditions de vie n’ont pas changé, que ce soit d’un point de vue professionnel ou social. Certes, N.________ a exposé qu’il n’avait plus de contacts avec son fils à Bordeaux depuis son incarcération. Cette rupture de contact n’est cependant pas liée à la durée de la détention, mais au principe même de celle-ci. D’autre part, l’impact de la détention excessive – qui n’était du reste pas de courte durée – sur l’appelant était de toute manière moindre, dès lors qu’il était déjà incarcéré depuis plusieurs mois. Enfin, ce dernier n’allègue pas les effets concrets négatifs qu’aurait pu engendrer la détention sur sa personne (cf. pp. 3-4 de l’appel), ce qu’il lui appartenait de démontrer. On ne voit dès lors pas en quoi il aurait spécialement mal vécu sa détention ni en quoi elle lui aurait causé des souffrances particulières. Dans ces circonstances, il convient d’allouer à l’appelant la somme de 100 fr. par jour pour la détention qu’il a subie dépassant la durée de la peine fixée, soit une indemnité de 4'800 fr. (48 jours x 100 francs). En ce qui concerne la détention provisoire subie dans des conditions illicites, elle sera indemnisée à raison de 50 fr. par jour, soit une indemnité de 1'150 fr. (23 jours x 50 francs). Un tel montant n’est pas considéré comme exagéré par le Tribunal fédéral (cf. ATF 140 I 246 consid. 2.6.1) et une indemnité de 100 fr. par jour ne se justifiant pas, dès</w:t>
      </w:r>
    </w:p>
    <w:p>
      <w:r>
        <w:t>- 18 - lors que cette partie de la détention demeurait justifiée dans son principe et était uniquement illicite en ce qui concerne ses conditions d’exécution. En définitive, c’est donc une indemnité d’un montant total de 5'950 fr. qui sera allouée à N.________ à titre de réparation morale. 4. L’appelant conteste ensuite son expulsion du territoire suisse, en se référant à ses conditions familiales et personnelles telles que relevées par l’expertise à titre de circonstances exceptionnelles. 4.1 Aux termes de l'art. 66a al. 1 let. c CP, le juge expulse de Suisse l'étranger qui est condamné notamment pour brigandage (art. 140),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4.1.1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(cf. Bonard, Expulsion pénale : la mise en œuvre de l'initiative sur le renvoi, questions choisies et premières jurisprudences, in : Forumpoenale 5/2017 p. 315; FiolkaNetterli, Die Landesverweisung in art. 66a ff StGB als strafrechtliche Sanktion, in : Plàdoyer 5/2016 p. 84). L'art. 66a al. 2 CP définit une "Kannvorschrift", en ce sens que le juge n'a pas l'obligation de renoncer à l'expulsion, mais peut le faire si les conditions fixées par cette disposition sont remplies. Ces conditions sont</w:t>
      </w:r>
    </w:p>
    <w:p>
      <w:r>
        <w:t>- 19 - cumulatives (cf. Busslinger/Uebersax, Härtefallklausel und Migrationsrecht der Landesverweisung, in : Plädoyer 5/2016 p. 97 s). Afin de pouvoir renoncer à une expulsion prévue par l'art. 66a al. 1 CP, il faut donc, d'une part, que cette mesure mette l'étranger dans une situation personnelle grave (cas de rigueur) et, d'autre part, que les intérêts publics à l'expulsion ne l'emportent pas sur l'intérêt privé de l'étranger à demeurer en Suisse. Pour fonder un cas de rigueur, il est nécessaire que la somme de toutes les difficultés induites par une expulsion affecte si durement l'intéressé que le fait de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(Busslinger/Uebersax, op. cit., p. 101; Fiolka/Vetterli, Landesverweisung nach Art. 66a StGB als strafrechtliche Sanktion, cahier spécial, Plädoyer 5/2016, p. 87), mais aussi à la prise en considération des éléments de la culpabilité ou de l'acte (ibidem, p. 87). Ensuite, tant l'application de l'art. 66a al. 2 CP que de l'art. 66abis CP imposent le respect du principe de proportionnalité. En d'autres termes, le juge doit faire une pesée des intérêts entre l’intérêt public à l'éloignement et la situation personnelle du condamné (Fiolka/Vetterli, op. cit., p. 87; Kümin, Darf eine Aufenthaltsbewilligung widerrufen werden, nachdern von einer Landesverweisung abgesehen wurde ? , Jusletter 28 novembre 2016, p. 14). Le juge considérera pour commencer la quotité de la peine : plus lourde sera celle-ci et plus grand sera l'intérêt public à expulser l'étranger (Busslinger/Uebersax, op. cit., p. 103). Ce résultat sera renforcé par le type d'infraction commise : si celle-ci atteint la vie, l'intégrité corporelle ou sexuelle, voire la santé d'un grand nombre de personne en application d'une aggravante à la LStup, l'intérêt public sera plus élevé (Busslinger/Uebersax, op. cit., p. 103). Quoiqu'il en soit, l'intérêt privé de l'intéressé à rester en Suisse devra s'analyser sans perdre de vue que les dispositions de la CEDH restent contraignantes (ATF 139 I 16</w:t>
      </w:r>
    </w:p>
    <w:p>
      <w:r>
        <w:t>- 20 - consid. 4.2. et 5 ss ; Münch/Weck, Die neue Landes-verweisung in Art. 66a ff. StGB, Revue de l'avocat 2016, p. 165, sp. p. 166; Busslinger/Uebersax, op. cit., p. 97; Kümin, op. cit., p. 14), en particulier les art. 3 et 8 CEDH. 4.1.2 La jurisprudence de la Cour européenne des droits de l’homme (CourEDH) ne reconnaît que restrictivement une violation de l'art. 3 CEDH en cas de défaut de traitement médical approprié dans le pays d'origine. Il est en effet nécessaire de se trouver face à des "considérations humanitaires impérieuses". Ainsi, la décision d'expulser un étranger qui souffre d'une maladie mentale grave dans un pays où les possibilités de traitement sont moindres par rapport à celles disponibles dans l'Etat contractant peut soulever une question au titre de l'art. 3 CEDH seulement dans un cas exceptionnel, et non simplement du fait que la situation d'une personne dans son pays d'origine serait moins favorable que celle dont elle jouit dans le pays d'accueil (CourEDH D. c. Royaume-Uni du 2 mai 1997, par. 54; CourEDH Emre c. Suisse du 22 mai 2008, par. 89 ss; CourEDH Tatar c. Suisse du 14 avril 2015, par. 43). Les conditions de l’art. 66a al. 2 CP peuvent être réalisées lorsque le condamné souffre d'une maladie nécessitant des soins médicaux. Il faut alors analyser comment son état de santé risque de se péjorer et quelles prestations médicales devront être fournies. Il convient également de clarifier dans quelle mesure ces prestations ne pourront en aucun cas être fournies dans l'Etat d'origine et quels inconvénients pourraient en découler. Si des possibilités suffisantes de soins ne peuvent pas être établies, il doit être supposé qu'elles n'existent pas (Fiolka/Vetterli, op. cit., p. 85).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w:t>
      </w:r>
    </w:p>
    <w:p>
      <w:r>
        <w:t>- 21 - (Fiolka/Vetterli, op. cit., p. 87). A pondération égale, l'intérêt privé prime sur l'intérêt public (Busslinger/Uebersax, op. cit., p. 102). 4.1.3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gravité de la faute commise par l'étranger, de la durée de son séjour en Suisse et du préjudice qu'il aurait à subir avec sa famille du fait de l'expulsion (ATF 139 II 121 consid. 6.5.1; ATF 135 II 377 consid. 4.3; TF 6B_506/2017 du 14 février 2018 consid. 2.1). Selon la Cour européenne des droits de l'homme,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par. 44; CourEDH Ukaj c. Suisse du 24 juin 2014 [requête no 32493/08] par. 27; CourEDH Hasanbasic c. Suisse du 11 juin 2013 [requête no 52166/09] par.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w:t>
      </w:r>
    </w:p>
    <w:p>
      <w:r>
        <w:t>- 22 -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par. 46; Ukaj par 29; Hasanbasic § 48; TF 6B_506/2017 précité consid. 2.2). Par référence à la jurisprudence de la Cour européenne des droits de l'homme citée ci-dessus, le critère de la "situation personnelle grave" a été défini à l'appui des éléments suivants : la nature et la gravité de l'infraction commise par l'étranger, la durée de son séjour dans le pays dont il doit être expulsé, le laps de temps écoulé entre la perpétration de l'infraction et la mesure litigieuse, ainsi que la conduite de l'intéressé durant cette période, la solidité des liens sociaux, culturels et familiaux avec le pays hôte et avec le pays de destination (TF 6B_506/2017 précité consid. 2.2). 4.2 L'appelant est condamné pour brigandage, de sorte qu'il ne peut être renoncé à son expulsion qu'en raison de circonstances exceptionnelles. 4.2.1 En l’espèce, N.________ souffre notamment d’une dépendance aux jeux d’argent. Selon les experts, il est notamment nécessaire que cette addiction aux jeux fasse l’objet d’un traitement psychiatrique à long terme au Centre du jeu excessif. Quant à l’addiction à l’alcool, elle a pu favoriser le passage à l’acte, tout comme ses capacités intellectuelles limitées. N.________ vit depuis 17 ans en Suisse, où il bénéficie d’un enracinement social important, dès lors qu’il vit en couple avec Q.________ depuis 2002, qu’il est co-titulaire du contrat de bail de leur appartement et entretient par ailleurs des relations avec la famille de cette dernière, dont ses petits-enfants, dont il s’occupe. A l’inverse, il n’entretient aucun lien</w:t>
      </w:r>
    </w:p>
    <w:p>
      <w:r>
        <w:t>- 23 - concret avec son pays d’origine, la France, même si une partie de sa famille y réside. En effet, son fils a été placé en foyer lorsqu’il était enfant et il habite loin des frontières suisses. Ainsi, tous deux ne communiquaient que par téléphone jusqu’à l’incarcération du prévenu, contact qui s’est ensuite interrompu. Par ailleurs, il ne ressort pas du dossier que l’appelant entretiendrait une relation particulière avec le reste de sa famille, qui vit en Normandie. Dans ces circonstances, force est de constater que l’appelant a construit son identité sociale autour de Q.________ et sa famille en Suisse, et que cela correspond au seul ancrage concret dont il dispose dans la vie. Quant au manque d’intégration professionnelle de l’appelant, il ne semble pas être délibéré, puisqu’il a travaillé en Suisse durant 10 ans avant d’être licencié ensuite de problèmes de santé. En outre, après un passage à vide, il semble bien décidé à reprendre une activité et aurait même décroché une offre d’emploi. A elle seule, la maladie dont souffre N.________ en relation avec les jeux d’argent ne permet pas de considérer qu’il se trouverait dans un cas de rigueur, puisqu’il n’est pas établi que ce dernier ne pourrait pas suivre un traitement adéquat en relation avec cette pathologie en France. Cependant, les experts ont aussi relevé que l’intéressé avait des capacités intellectuelles limitées et qu’il présentait une immaturité affective et émotionnelle, ainsi que des capacités introspectives et de mentalisation très limitées, voire absentes. Il en résultait un manque de ressources adaptatives et une difficulté à assumer ses responsabilités (cf. P. 39, p. 10). Compte tenu de ces circonstances très particulières – qui se retranscrivent d’ailleurs dans le désespoir et l’extrême maladroitesse de l’acte commis –, une (ré)intégration dans un pays avec lequel il n’a plus de liens depuis de nombreuses années et où il ne bénéficiera le plus vraisemblablement d’aucun soutien serait probablement extrêmement difficile. En conséquence, la conjonction de ces facteurs (pathologie nécessitant un traitement, facultés adaptatives limitées, absence de liens</w:t>
      </w:r>
    </w:p>
    <w:p>
      <w:r>
        <w:t>- 24 - et de soutien dans le pays d’origine, respectivement ancrage social fort et soutien disponible dans le pays d’accueil) font que N.________ se trouve dans une situation personnelle grave laissant présager une réintégration dans son pays d'origine en pratique très difficile, voire impossible. La clause de rigueur, prévue à l'art. 66a al. 2 CP, est donc réalisée. 4.2.2 Il convient ensuite d’examiner si l'intérêt public à l'expulsion l’emporte ou non sur l'intérêt privé de l'appelant à rester en Suisse. Comme exposé au considérant qui précède, N.________ n’a pratiquement pas d’attaches en France, alors que le seul ancrage qu’il a dans la vie se trouve en Suisse, où il pourra de surcroît traiter son addiction aux jeux avec le soutien de sa compagne (cf. jugt. p. 11 ch. 2). Il dispose dès lors d’un intérêt privé évident à demeurer dans son pays d’accueil. D’un autre côté, l’infraction commise par le prénommé est grave et ne saurait être banalisée. Cela étant, on relèvera que la commission de cette infraction a essentiellement eu pour origine ses pulsions difficilement répressibles pour le jeu, pathologie pour laquelle il a été diagnostiqué et qui a été exacerbée par d’autres facteurs, raison pour laquelle les experts ont conclu à une responsabilité moyennement diminuée (cf. P. 39, p. 12). C’est également en raison de cette pathologie – qui peut et doit être traitée selon les experts – qu’un risque de récidive élevé a été retenu (ibidem). Par conséquent, dans l’optique d’un traitement de ladite addiction, l’intérêt public à l’expulsion du territoire suisse de N.________ pour garantir la sûreté publique, la défense de l'ordre et la prévention des infractions pénale est sensiblement plus faible que son intérêt à pouvoir y demeurer. 4.2.3 Au vu des éléments qui précèdent, l’expulsion de Suisse de N.________ le mettrait dans une situation personnelle grave et son intérêt privé à demeurer en Suisse prévaut, de sorte que sa situation – qui, comme déjà dit, est très particulière – répond aux conditions de l’art. 66a al. 2 CP. Une ultime chance peut ainsi lui être accordée afin de prouver qu’il est capable de se soigner et de ne plus occuper les instances</w:t>
      </w:r>
    </w:p>
    <w:p>
      <w:r>
        <w:t>- 25 - judiciaires suisses. Il sera donc renoncé au prononcé de la mesure d’expulsion. Cependant, dans un but clair de prévention de la récidive, il y a lieu d’ordonner, comme il le demande d’ailleurs, que N.________ suive, durant le délai d’épreuve de quatre ans, à titre de règle de conduite (art. 44 al. 2 CP), un suivi psychiatrique ou psychothérapeutique au Centre du jeu excessif ou dans une institution similaire, avec obligation de se conformer aux exigences des intervenants. 5. Au vu de ce qui précède, l’appel doit être admis et le jugement attaqué modifié dans le sens des considérants qui précèdent. Le défenseur d’office de N.________ a produit en audience une liste d’opérations dont il n'y a pas lieu de s'écarter, et à laquelle il faut ajouter le temps consacré à l'audience d'appel. En définitive, c’est donc une indemnité d’un montant de 2'563 fr. 25, correspondant à 13 heures d’activité à 180 fr. de l'heure, à 40 fr. de débours et à 183 fr. 25 de TVA qui doit être allouée à Me Pierre Charpié pour la procédure d’appel. Vu l’issue de la cause, les frais de la procédure d'appel, par 4'833 fr. 25, constitués en l’espèce des émoluments d’arrêt et d'audience, par 2'380 fr., (art. 21 al. 1 et 2 TFIP [Tarif des frais de procédure et indemnités en matière pénale du 28 septembre 2010; RSV 312.03.1]), ainsi que de l’indemnité allouée au défenseur d’office du prévenu, seront laissés à la charge de l’Etat (art. 423 al. 1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