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PE17.010514 vom 9. Januar 2020</w:t>
      </w:r>
    </w:p>
    <w:p>
      <w:r>
        <w:t>VD Tribunal cantonal, 2020-01-09, FR</w:t>
      </w:r>
    </w:p>
    <w:p>
      <w:r>
        <w:rPr>
          <w:b/>
        </w:rPr>
        <w:t xml:space="preserve">Quelle: </w:t>
      </w:r>
      <w:r>
        <w:t>https://mcp.opencaselaw.ch/entscheid/vd_gerichte_PE17.010514</w:t>
      </w:r>
    </w:p>
    <w:p>
      <w:r>
        <w:t>FR: VD_GERICHTE PE17.010514 du 9 janvier 2020</w:t>
      </w:r>
    </w:p>
    <w:p>
      <w:r>
        <w:t>IT: VD_GERICHTE PE17.010514 del 9 gennaio 2020</w:t>
      </w:r>
    </w:p>
    <w:p>
      <w:pPr>
        <w:pStyle w:val="Heading2"/>
      </w:pPr>
      <w:r>
        <w:t>Erwägungen</w:t>
      </w:r>
    </w:p>
    <w:p>
      <w:r>
        <w:rPr>
          <w:b/>
        </w:rPr>
        <w:t>E. 25</w:t>
      </w:r>
    </w:p>
    <w:p>
      <w:r>
        <w:t>mars 2019, consid. 2.2.1 et les références citées).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5. 5.1 Aux termes de l’art. 146 al. 1 CP (Code pénal suisse;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(ATF 142 IV 153 consid. 2.2.2; TF 6B_1010/2018 précité consid. 3.3.1 et les réf. citées).</w:t>
      </w:r>
    </w:p>
    <w:p>
      <w:r>
        <w:t>- 8 - L'astuce au sens légal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ATF 135 IV 76 consid. 5.2; ATF 133 IV 256 consid. 4.4.3). 5.2 Aux termes de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L'infraction d’abus de confiance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L'al.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133 IV 21 consid. 6.2; ATF 129 IV 257 consid. 2.2.1; ATF 121 IV 23 consid. 1; ATF 119 IV 127 consid. 2).</w:t>
      </w:r>
    </w:p>
    <w:p>
      <w:r>
        <w:t>- 9 - 6. En l’espèce, les moyens du recourant sont relativement flous et peu documentés. En particulier, celui-ci procède par renvoi à ses propres écritures mais ne met pas en avant des indices concrets d’utilisation frauduleuse des montants confiés (abus de confiance) ou de comportement astucieux (escroquerie). Bien au contraire, il est établi, et le recourant ne le conteste pas, que les tableaux convenus ont bien été achetés et livrés, même si c’était à des prix très élevés par rapport aux valeurs estimées en 2019 (P. 55/3). On ne décèle ainsi aucune astuce dans le comportement du prévenu. Sous l’angle de l’abus de confiance, en particulier, le recourant n’apporte aucunement la démonstration que le prévenu aurait gardé par devers lui une partie de l’argent versé. Il apparaît même peu crédible, dans la mesure où il a initialement prétendu qu’il n’avait pas reçu les tableaux et qu’il s’est avéré ultérieurement qu’il en avait pris possession à des dates indéterminées. Qui plus est, il ne s’agissait pas de faux, mais simplement d’œuvres surévaluées. En effet, comme le relève à juste titre le procureur, le plaignant n’a pas contesté les allégations, convaincantes, du prévenu selon lesquelles il avait d’abord accepté uniquement de prendre possession d’un tableau et refusé les cinq autres, pour consentir finalement à recevoir livraison de ces derniers également. Lors de son audition déjà, le plaignant avait du reste admis avoir « en [s]a possession le troisième tableau » (PV aud. 1, lignes 66-67), tout en ajoutant avoir, le 9 juin 2017, dû refuser de prendre livraison de deux tableaux, faute pour ceux-ci d’être munis de « documents justificatifs » (PV aud. 1, lignes 77-79). Ces atermoiements lui enlèvent naturellement toute crédibilité. Le sort des tableaux litigieux étant ainsi établi, une audition du prévenu par commission rogatoire ne serait pas de nature à amener d’élément complémentaire déterminant à cet égard. La nationalité et le lieu de domicile du prévenu ne sont dès lors pas déterminants. C’est donc à bon droit que le Ministère public a rejeté la réquisition du plaignant en ce sens. Il apparaît de même, comme l’a relevé le Procureur, que le litige est de nature exclusivement civile.</w:t>
      </w:r>
    </w:p>
    <w:p>
      <w:r>
        <w:t>- 10 - Dans ces conditions, un renvoi en jugement du prévenu aboutirait assurément à un acquittement plutôt qu’à une condamnation, faute pour les éléments constitutifs d'une quelconque infraction pénale d’être réunis. Le motif de classement prévu par l’art. 319 al. 1 let. b CPP est ainsi réalisé. Le fait que les frais de procédure aient été mis à la charge du prévenu en application de l’art. 426 al. 2 CPP ne suffit au demeurant pas à étayer un dol pénal. 7. En définitive, le recours, manifestement mal fondé, doit être rejeté sans échange d’écritures (art. 390 al. 2 CPP) et l’ordonnance de classement confirmée. Les frais de la procédure de recours, constitués en l’espèce de l’émolument d'arrêt, par 990 fr. (art. 20 al. 1 TFIP [tarif des frais judiciaires de procédure et indemnités en matière pénale du 28 septembre 2010; RSV 312.03.1]), seront mis à la charge du recourant, qui succombe (art. 428 al. 1 CPP). Par ces motifs, la Chambre des recours pénale prononce : I. Le recours est rejeté. II. L'ordonnance du 11 novembre 2019 est confirmée. III. Les frais de la procédure de recours, fixés à 990 fr. (neuf cent nonante francs), sont mis à la charge de Q.________. IV. L'arrêt est exécutoire. Le président : Le greffier :</w:t>
      </w:r>
    </w:p>
    <w:p>
      <w:r>
        <w:t>- 11 - Du Le présent arrêt, dont la rédaction a été approuvée à huis clos, est notifié, par l'envoi d'une copie complète, à : - Me Pierre-Xavier Luciani, avocat (pour Q.________), - Me Rolf Ditesheim, avocat (pour M.________),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