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PE17.010094 vom 25. September 2018</w:t>
      </w:r>
    </w:p>
    <w:p>
      <w:r>
        <w:t>VD Tribunal cantonal, 2018-09-25, FR</w:t>
      </w:r>
    </w:p>
    <w:p>
      <w:r>
        <w:rPr>
          <w:b/>
        </w:rPr>
        <w:t xml:space="preserve">Quelle: </w:t>
      </w:r>
      <w:r>
        <w:t>https://mcp.opencaselaw.ch/entscheid/vd_gerichte_PE17.010094</w:t>
      </w:r>
    </w:p>
    <w:p>
      <w:r>
        <w:t>FR: VD_GERICHTE PE17.010094 du 25 septembre 2018</w:t>
      </w:r>
    </w:p>
    <w:p>
      <w:r>
        <w:t>IT: VD_GERICHTE PE17.010094 del 25 settembre 2018</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w:t>
      </w:r>
    </w:p>
    <w:p>
      <w:r>
        <w:t>- 4 - présentée le 14 septembre 2018 par X.________ à l’encontre de la Procureure V.________ (art. 13 LVCPP [Loi vaudoise d’introduction du Code de procédure pénale suisse du 19 mai 2009 ; RSV 312.01]).</w:t>
      </w:r>
    </w:p>
    <w:p>
      <w:r>
        <w:rPr>
          <w:b/>
        </w:rPr>
        <w:t>E. 2.1</w:t>
      </w:r>
    </w:p>
    <w:p>
      <w:r>
        <w:t>et réf.).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Selon la jurisprudence, on ne saurait admettre systématiquement la récusation d'un procureur au motif qu'il aurait déjà rendu dans la même cause une ordonnance de non- entrée en matière ou de classement annulée par l'autorité de recours.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w:t>
      </w:r>
    </w:p>
    <w:p>
      <w:r>
        <w:t>- 6 - est prévenu ou justifient à tout le moins objectivement l'apparence de prévention (ATF 141 IV 178 consid. 3.2.3 ; ATF 138 IV 142 consid. 2.3). De même, la garantie d’un juge impartial ne commande pas la récusation d’un magistrat au simple motif qu’il a, dans une procédure antérieure – voire dans la même affaire –, tranché en défaveur du requérant (ATF 143 IV 69 consid. 3.1).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 TF 1B_311/2014 du 31 octobre 2014).</w:t>
      </w:r>
    </w:p>
    <w:p>
      <w:r>
        <w:rPr>
          <w:b/>
        </w:rPr>
        <w:t>E. 2.2</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w:t>
      </w:r>
    </w:p>
    <w:p>
      <w:r>
        <w:t>- 5 - 0.101) permet d'exiger la récusation d'un juge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3.2.1 ; ATF 138 IV 142 consid. 2.1 ; ATF 136 III 605 consid. 3.2.1 ; ATF 134 I 20 consid. 4.2 ; TF 1B_105/2013 du 21 mai 2013 consid. 2.1 ; TF 1B_87/2017 du 6 avril 2017 consid. 2.2 et les références).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 CREP 17 mars 2017/181 consid.</w:t>
      </w:r>
    </w:p>
    <w:p>
      <w:r>
        <w:rPr>
          <w:b/>
        </w:rPr>
        <w:t>E. 2.3</w:t>
      </w:r>
    </w:p>
    <w:p>
      <w:r>
        <w:t>En l’espèce, force est de constater que l’on ne discerne pas, dans les éléments présentés par le requérant, d’indices de prévention à son encontre de la part de la procureure V.________. Le seul fait que celle- ci lui ait adressé le 11 septembre 2018 un avis de prochaine condamnation dans le cadre de l’enquête J.________, dans lequel elle indiquait notamment son intention de rendre une ordonnance pénale à son encontre, ne constitue nullement un indice de partialité. En effet, si l’art. 318 al. 1 CPP impose au Ministère public d’adresser aux parties un avis de prochaine clôture, en leur fixant un délai pour présenter leurs réquisitions de preuves, uniquement lorsqu’il entend rendre une ordonnance de mise en accusation ou une ordonnance de classement, rien ne l’empêche de procéder ainsi également dans le cas où il envisage de rendre une ordonnance pénale. L’intention ainsi exprimée, qui ne lie pas le Ministère public pour la suite de la procédure, l’est dans le cadre de l’exercice par le procureur de ses attributions légales, qui lui imposent, lorsque des soupçons suffisants de commission d’une infraction sont établis, de rendre une ordonnance de mise en accusation ou, dans le cas où il estime suffisante l’une des peines énumérées à l’art. 352 al. 1 CPP et</w:t>
      </w:r>
    </w:p>
    <w:p>
      <w:r>
        <w:t>- 7 - où les faits sont admis ou établis, une ordonnance pénale ; elle ne constitue ainsi nullement un indice de prévention. En l’occurrence, le requérant a la possibilité de faire valoir tous ses moyens – aussi bien s’agissant des suites envisagées à son encontre que de celles envisagées à l’encontre de sa voisine – dans la procédure pénale J.________ et l’avis de prochaine condamnation qui lui a été adressé dans le cadre de cette enquête n’implique aucune prévention de la part de la procureure V.________ dans le cadre de l’enquête distincte T.________.</w:t>
      </w:r>
    </w:p>
    <w:p>
      <w:r>
        <w:rPr>
          <w:b/>
        </w:rPr>
        <w:t>E. 3</w:t>
      </w:r>
    </w:p>
    <w:p>
      <w:r>
        <w:t>Il résulte de ce qui précède que la demande de récusation présentée le 14 septembre 2018 par X.________ à l’encontre de la procureure V.________ doit être rejetée. Les frais de la procédure, constitués en l’espèce du seul émolument de décision, par 770 fr. (art. 20 al. 1 TFIP [Tarif des frais de procédure et indemnités en matière pénale du 28 septembre 2010; RSV 312.03.1]), seront mis à la charge du requérant (art. 59 al. 4 CPP). Par ces motifs, la Chambre des recours pénale prononce : I. La demande de récusation présentée le 14 septembre 2018 par X.________ est rejetée. II. Les frais de procédure, par 770 fr. (sept cent septante francs), sont mis à la charge du requérant. III. La décision est exécutoire. Le président : La greffière :</w:t>
      </w:r>
    </w:p>
    <w:p>
      <w:r>
        <w:t>- 8 - Du La présente décision, dont la rédaction a été approuvée à huis clos, est notifiée, par l'envoi d'une copie complète, à : - M. X.________, - Ministère public central, et communiquée à : - Mme la Procureure du Ministère public de l’arrondissement de La Côte, par l’envoi de photocopies. La présente décision peut faire l'objet d'un recours en matière pénale devant le Tribunal fédéral au sens des art. 78 ss LTF (loi sur le Tribunal fédéral 2005 du 17 juin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