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PE17.010030 vom 29. Dezember 2023</w:t>
      </w:r>
    </w:p>
    <w:p>
      <w:r>
        <w:t>VD Tribunal cantonal, 2023-12-29, FR</w:t>
      </w:r>
    </w:p>
    <w:p>
      <w:r>
        <w:rPr>
          <w:b/>
        </w:rPr>
        <w:t xml:space="preserve">Quelle: </w:t>
      </w:r>
      <w:r>
        <w:t>https://mcp.opencaselaw.ch/entscheid/vd_gerichte_PE17.010030</w:t>
      </w:r>
    </w:p>
    <w:p>
      <w:r>
        <w:t>FR: VD_GERICHTE PE17.010030 du 29 décembre 2023</w:t>
      </w:r>
    </w:p>
    <w:p>
      <w:r>
        <w:t>IT: VD_GERICHTE PE17.010030 del 29 dicembre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le recours est recevable.</w:t>
      </w:r>
    </w:p>
    <w:p>
      <w:r>
        <w:t>- 10 - L’ordonnance attaquée retient que le recourant n’a plus la qualité de plaignant mais seulement celle de dénonciateur. Dans son mémoire de recours, celui-ci ne conteste pas cette déduction, ni le raisonnement qui y a conduit. Il prétend uniquement avoir la qualité de lésé ainsi que la qualité pour recourir, mais ne procède à aucune démonstration à cet égard. Ces questions peuvent rester indécises, dès lors que le recours doit de toute manière être rejeté.</w:t>
      </w:r>
    </w:p>
    <w:p>
      <w:r>
        <w:rPr>
          <w:b/>
        </w:rPr>
        <w:t>E. 2.1</w:t>
      </w:r>
    </w:p>
    <w:p>
      <w:r>
        <w:t>Le droit d'être entendu, garanti à l'art. 29 al. 2 Cst., comprend notamment celui de produire ou de faire administrer des preuves, à condition qu'elles soient pertinentes et de nature à influer sur la décision à rendre (ATF 145 I 73 consid. 7.2.2.1; 143 V 71 consid. 4.1; ATF 142 II 218 consid. 2.3; ATF 140 I 285 consid. 6.3.1 et les références citées). 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ATF 141 I 60 consid. 3.3 ; ATF 136 I 229 consid. 5.3).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w:t>
      </w:r>
    </w:p>
    <w:p>
      <w:r>
        <w:t>- 11 - à modifier son opinion (ATF 144 II 427 consid. 3.1.3 ; TF 7B_691/2923 du 7 novembre 2023 consid. 3.2.1).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2e éd., Bâle 2019 n. 19 ad art. 318 CPP).</w:t>
      </w:r>
    </w:p>
    <w:p>
      <w:r>
        <w:rPr>
          <w:b/>
        </w:rPr>
        <w:t>E. 2.2</w:t>
      </w:r>
    </w:p>
    <w:p>
      <w:r>
        <w:t>Le recourant reproche au Ministère public d’avoir rejeté de manière arbitraire ses réquisitions de preuves, tendant à sa propre audition, l’audition contradictoire de R.________, l’audition contradictoire de [...], l’audition de l’expert [...], la mise en place d’une contre-expertise en écriture et l’analyse des empreintes digitales figurant sur la convention du 11 juin 2015. Son argumentation au sujet de ces réquisitions de preuves sera prise en compte dans le cadre de l’examen de ses moyens de fond.</w:t>
      </w:r>
    </w:p>
    <w:p>
      <w:r>
        <w:rPr>
          <w:b/>
        </w:rPr>
        <w:t>E. 3.1</w:t>
      </w:r>
    </w:p>
    <w:p>
      <w:r>
        <w:t>Sur le fond, pour ce qui est de la convention du 11 juin 2015, le recourant reproche au Ministère public d’avoir considéré que l’expertise avait permis de déterminer que la signature apposée sur ce document était bien la sienne, alors que, selon lui, les conclusions de l’expertise seraient fondées sur des pièces transmises par R.________, qui comprendraient de nombreuses fausses signatures. On ne saurait ainsi s’appuyer uniquement sur l’expertise pour conclure que c’est bien lui qui est l’auteur de la signature litigieuse. Il fait également grief au Ministère public de n’avoir pas retenu son argument selon lequel il ne lui aurait pas été physiquement possible d’être présent à Lausanne pour la signature de ce contrat en raison de son déménagement le même jour à Genève. Pour finir, il fait valoir que la faute orthographique du mot « dépens » n’est pas</w:t>
      </w:r>
    </w:p>
    <w:p>
      <w:r>
        <w:t>- 12 - anodine car il « n’aurait jamais commis une telle erreur ». Le recourant soutient ainsi qu’il n’est pas possible de considérer que les faits ne sont pas punissables ou que les conditions à la poursuite pénale de R.________ pour faux dans les titres ne sont pas remplies. S’agissant des procès-verbaux des assemblées générales tenues le 28 septembre 2015, le recourant affirme que R.________ savait pertinemment qu’il n’était pas le propriétaire des actions des différentes sociétés et qu’il n’était donc pas habilité à disposer des certificats d’actions. Quant à ces mêmes certificats, le recourant soutient avoir été victime d’un abus de confiance dans la mesure où ils auraient été transférés par X.________ SA au notaire P.________ sans son accord, quand bien même il avait résilié les mandats de tenue de comptabilité avec X.________ SA et avait exigé de celle-ci la restitution des certificats.</w:t>
      </w:r>
    </w:p>
    <w:p>
      <w:r>
        <w:rPr>
          <w:b/>
        </w:rPr>
        <w:t>E. 3.2.1</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w:t>
      </w:r>
    </w:p>
    <w:p>
      <w:r>
        <w:t>- 13 -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TF 7B_5/2022 du 12 octobre 2023 consid. 4.1).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22 octobre 2023/856 consid. 3.2). La maxime de l'instruction oblige les autorités pénales à rechercher d'office tous les faits pertinents (cf. art. 6 CPP).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(TF 6B_524/2023 du 18 août 2023 consid. 3.1).</w:t>
      </w:r>
    </w:p>
    <w:p>
      <w:r>
        <w:rPr>
          <w:b/>
        </w:rPr>
        <w:t>E. 3.2.2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t>- 14 -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 TF 6B_52/2022 du 16 mars 2023 consid. 4.1.3).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135 IV 12 consid. 2.2). Par ailleurs, l'art. 251 CP exige un dessein spécial, à savoir que l'auteur agisse afin de porter atteinte aux intérêts pécuniaires ou aux droits d'autrui ou de se procurer ou de procurer à un tiers un avantage illicite (ATF 141 IV 369 consid. 7.4; 138 IV 130 consid. 3.2.4; TF 6B_52/2022 du 16 mars 2023 consid. 4.1.3).</w:t>
      </w:r>
    </w:p>
    <w:p>
      <w:r>
        <w:rPr>
          <w:b/>
        </w:rPr>
        <w:t>E. 3.2.3</w:t>
      </w:r>
    </w:p>
    <w:p>
      <w:r>
        <w:t>Commet un abus de confiance au sens de l'art. 138 ch. 1 al. 2 CP, celui qui, sans droit, aura employé à son profit ou au profit d'un tiers des valeurs patrimoniales qui lui avaient été confiées.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(art. 138 ch. 2 CP).</w:t>
      </w:r>
    </w:p>
    <w:p>
      <w:r>
        <w:t>- 15 -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 TF 6B_1017/2022 du 7 juin 2023 consid. 2.1). Bien que cet élément ne soit pas explicitement énoncé par l'art. 138 ch. 1 al. 2 CP, la disposition exige que le comportement adopté par l'auteur cause un dommage, qui représente un élément constitutif objectif non écrit (ATF 111 IV 19 consid. 5 ; TF 6B_595/2022 du 2 juin 2023 consid. 2.1.1). D'un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w:t>
      </w:r>
    </w:p>
    <w:p>
      <w:r>
        <w:t>- 16 - défaut si, au moment de l'emploi illicite de la valeur patrimoniale, l'auteur en paie la contre-valeur, s'il avait à tout moment ou, le cas échéant, à la date convenue à cet effet, la volonté et la possibilité de le faire (« Ersatzbereitschaft » ; ATF 118 IV 32 consid. 2a) ou encore s'il était en droit de compenser (ATF 105 IV 29 consid. 3a ; TF 6B_595/2022 du 2 juin 2023 consid. 2.1.2).</w:t>
      </w:r>
    </w:p>
    <w:p>
      <w:r>
        <w:rPr>
          <w:b/>
        </w:rPr>
        <w:t>E. 3.3.1</w:t>
      </w:r>
    </w:p>
    <w:p>
      <w:r>
        <w:t>En l’espèce, s’agissant de la convention du 11 juin 2015, l’expertise fait état d’une probabilité de 99.9 % que le recourant soit l’auteur de la signature apposée à côté de son nom. Ce dernier n’étaye en rien sa critique voulant que les exemples de signatures sur lesquels l’expert s’est fondé comprendraient de nombreux faux. Il ne se donne par ailleurs pas même la peine de lister les signatures qui auraient selon lui été contrefaites. Il n’apporte pas non plus d’éléments qui pourraient mettre en doute le sérieux avec lequel l’expertise a été menée. De surcroit, parmi les exemples de signatures sur lesquelles l’expert a fondé son analyse, deux proviennent de documents officiels (passeport et carte d’identité du recourant) et douze de documents transmis par le recourant. L’expert s’est donc à l’évidence fondé sur des éléments officiels et fiables. On ne voit ainsi pas en quoi il serait nécessaire de recueillir des éclaircissements de l’expert ou de procéder à son audition. En outre, le recourant avait déjà pu faire valoir ses critiques à l’égard de l’expertise dans le cadre de ses déterminations du 31 janvier 2021 et l’expert y avait répondu par courrier du 28 février 2022, expliquant notamment que la signature litigieuse avait été comparée à tous les spécimens qui avaient été produits par les parties. S’agissant de la réquisition tendant à la mise en œuvre d’une expertise afin d’analyser les empreintes digitales présentes sur la convention ; comme cela a été souligné par l’expert dans son courrier du 28 février 2022 ainsi que par le Ministère public, même s’il devait être donné suite à cette réquisition et si aucune empreinte du recourant n’était relevée, cela ne signifierait pas pour autant que celui-ci n’est pas l’auteur de la signature. Cette réquisition ne serait donc pas à même de modifier les conclusions du Ministère public. C’est ainsi à bon</w:t>
      </w:r>
    </w:p>
    <w:p>
      <w:r>
        <w:t>- 17 - droit que cette autorité a rejeté les réquisitions du recourant qui précèdent. Les autres arguments du recourant n’ont aucune consistance. En effet, ce n’est pas parce que celui-ci aurait été occupé par un déménagement à Genève, qu’il n’établit d’aucune manière, qu’il lui aurait été impossible de faire en cours de journée un aller-retour entre Lausanne et Genève afin de signer la convention, qui est au demeurant très succincte et n’aurait donc pas nécessité qu’il s’attarde longtemps sur place. Pour ce qui est de l’erreur d’orthographe du mot « dépends », d’une part le recourant n’allègue pas avoir rédigé la convention et, d’autre part, personne ne peut affirmer de manière péremptoire qu’il aurait été impossible qu’elle ne commette pas une telle erreur. Le classement de la procédure en lien avec la convention du 11 juin 2015 peut donc être confirmé.</w:t>
      </w:r>
    </w:p>
    <w:p>
      <w:r>
        <w:rPr>
          <w:b/>
        </w:rPr>
        <w:t>E. 3.3.2</w:t>
      </w:r>
    </w:p>
    <w:p>
      <w:r>
        <w:t>Concernant les procès-verbaux des assemblées générales ayant été tenues le 28 septembre 2015, ainsi que le transfert des certificats d’actions, le recourant ne critique pas le raisonnement du Ministère public, si bien que l’on pourrait se demander si son argumentation respecte les exigences de motivation posées par l’art. 385 al. 1 CPP. La question peut néanmoins rester ouverte puisque dans tous les cas le moyen doit être rejeté. Le recourant ne cherche pas à contrer l’argument du Ministère public selon lequel les procès-verbaux des assemblées générales ne pouvaient constituer des titres faux au sens de l’art. 251 CP car, d’une part, R.________ était persuadé, sur le plan subjectif, qu’il avait annulé valablement les contrats de vente et qu’il était redevenu propriétaire des actions des différentes sociétés et, d’autre part, que sur le plan matériel il était en possession des certificats d’actions au porteur. Sur ce point, on ne voit pas ce que l’audition du recourant pourrait apporter, alors qu’il ne soulève aucun argument concret par écrit dans son recours. Il en découle</w:t>
      </w:r>
    </w:p>
    <w:p>
      <w:r>
        <w:t>- 18 - que c’est à bon droit que le Ministère public a rejeté la réquisition de preuve du recourant tendant à son audition. S’agissant d’un éventuel abus de confiance, des incertitudes subsistent manifestement sur le cheminement des certificats d’actions entre X.________ SA et l’étude du notaire P.________. Le recourant se contente de rappeler qu’il avait remis les certificats d’actions à X.________ SA et que ceux-ci ont été transférés sans son accord au notaire. Il ne prend pas position sur l’appréciation du Ministère public à cet égard, notamment s’agissant de l’impossibilité de déterminer précisément ce qui avait été convenu. Il convient également de prendre en considération le comportement assez incohérent et contradictoire du recourant, qui ne cesse de contester son accord pour la transmission des certificats d’actions, alors qu’il avait pourtant retiré sa première plainte pénale contre R.________. Là encore, on ne voit pas ce que l’audition du recourant aurait pu apporter, celui-ci n’exposant pas par écrit des éléments concrets susceptibles de justifier un complément d’instruction, étant précisé que le plaignant n’a pas un droit d’être auditionné avant un classement s’il n’expose pas concrètement en quoi son audition serait indispensable (cf. CREP 2 décembre 2019/962 consid. 5.3 ; CREP 18 septembre 2018/715 consid. 2). Pour ce qui est des réquisitions du recourant tendant à la tenue d’auditions contradictoires de R.________ et [...], il n’explique pas quels nouveaux éléments pourraient ressortir de telles auditions, qui pourraient modifier les conclusions du Ministère public. Il ressort en outre du dossier que le précédent conseil du recourant avait reçu copie des citations à comparaître adressées à R.________ et [...]. Le recourant, ou son conseil, a ainsi eu la possibilité d’être présents lors desdites auditions et de poser ses questions mais a fait le choix de ne pas y assister. Il ne peut ainsi pas à ce stade se plaindre que ces auditions n’aient pas eu lieu en contradictoire.</w:t>
      </w:r>
    </w:p>
    <w:p>
      <w:r>
        <w:t>- 19 - Au vu de ce qui précède, c’est à bon droit que le Ministère public a refusé de mettre en œuvre les preuves requises par le recourant et le classement de la procédure peut être confirmé.</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par 1’870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17 avril 2023 est confirmée. III. Les frais d’arrêt, par 1’870 fr. (mille huit cent septante francs), sont mis à la charge de H.________. IV. L’arrêt est exécutoire. La présidente : Le greffier :</w:t>
      </w:r>
    </w:p>
    <w:p>
      <w:r>
        <w:t>- 20 - Du Le présent arrêt, dont la rédaction a été approuvée à huis clos, est notifié, par l'envoi d'une copie complète, à : - Me Robert Assael, avocat (pour H.________), - Me Adrien Gutowski,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