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PE17.009418 vom 16. Oktober 2017</w:t>
      </w:r>
    </w:p>
    <w:p>
      <w:r>
        <w:t>VD Tribunal cantonal, 2017-10-16, FR</w:t>
      </w:r>
    </w:p>
    <w:p>
      <w:r>
        <w:rPr>
          <w:b/>
        </w:rPr>
        <w:t xml:space="preserve">Quelle: </w:t>
      </w:r>
      <w:r>
        <w:t>https://mcp.opencaselaw.ch/entscheid/vd_gerichte_PE17.009418</w:t>
      </w:r>
    </w:p>
    <w:p>
      <w:r>
        <w:t>FR: VD_GERICHTE PE17.009418 du 16 octobre 2017</w:t>
      </w:r>
    </w:p>
    <w:p>
      <w:r>
        <w:t>IT: VD_GERICHTE PE17.009418 del 16 ottobre 2017</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art. 222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- 4 -</w:t>
      </w:r>
    </w:p>
    <w:p>
      <w:r>
        <w:rPr>
          <w:b/>
        </w:rPr>
        <w:t>E. 2.2</w:t>
      </w:r>
    </w:p>
    <w:p>
      <w:r>
        <w:t>L’art. 212 al. 3 CPP prévoit que la détention provisoire et la détention pour des motifs de sûreté ne doivent pas durer plus longtemps que la peine privative de liberté prévisible. La proportionnalité de la détention avant jugement doit être examinée au regard de l’ensemble des circonstances concrètes du cas d’espèce (ATF 133 I 168 consid. 4.1 et les arrêts cités). A cet égard, il est admis que le juge peut maintenir la détention avant jugement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3.1</w:t>
      </w:r>
    </w:p>
    <w:p>
      <w:r>
        <w:t>En l’espèce, le recourant ne conteste pas que la condition préalable des forts soupçons à son encontre soit réalisée. Il reconnaît du reste expressément les faits incriminés (recours, p. 2). Il ne nie pas davantage les risques de fuite et de réitération retenus par le premier juge, que la Cour de céans renoncera dès lors à examiner. Il soutient en revanche que le principe de la proportionnalité serait violé au vu de la durée totale de sa détention avant jugement. Il considère en outre que la mesure d’expulsion ne serait pas envisageable au vu de la nature et de la gravité des infractions incriminées.</w:t>
      </w:r>
    </w:p>
    <w:p>
      <w:r>
        <w:rPr>
          <w:b/>
        </w:rPr>
        <w:t>E. 3.2</w:t>
      </w:r>
    </w:p>
    <w:p>
      <w:r>
        <w:t>A l’ouverture des débats, prévue le 9 novembre 2017, le recourant aura subi 155 jours de détention avant jugement, dont 29 dans des conditions de détention que l’on peut d’ores et déjà tenir pour illicites, au vu du contenu de l’acte d’accusation (acte d’accusation, p. 4). Pour sa part, le recourant considère avoir subi 32 jours de détention dans des conditions illicites (recours, p. 2), durée qu’il tient pour impérativement déductible de la peine privative de liberté à prononcer. Son casier judiciaire suisse comporte deux inscriptions, relatives à une peine</w:t>
      </w:r>
    </w:p>
    <w:p>
      <w:r>
        <w:t>- 5 - pécuniaire de 30 jours-amende, prononcée le 12 mars 2016 par la Staatsanwaltschaft Zurich-Limmat pour vol, s’agissant de la première, et à une peine privative de liberté de 180 jours, avec amende de 100 fr., prononcée le 18 octobre 2016 par le Ministère public de l’arrondissement de La Côte pour vol, vol en bande, dommage à la propriété, violation de domicile et contravention à la LStup (Loi fédérale sur les stupéfiants; RS 812.121), pour ce qui est de la seconde. Il y a récidive en cours d’enquête, le prévenu ayant, de son propre aveu, commis de nouvelles infractions après son élargissement le 29 juin 2017. L’intéressé est connu sous divers alias. Il fait l’objet d’une interdiction d’entrée en Suisse prononcée pour la période du 17 août 2016 au 16 août 2020. Cela étant, le prévenu se prévaut de la valeur selon lui modique des biens qu’il a reconnu avoir volés. Même si ces biens n’étaient certes pas de grande valeur, il n’en s’agissait pas moins d’objets d’un prix de plusieurs centaines de francs. Quoi qu’il en soit, l’essentiel est ailleurs. Le plaideur fait en effet mine d’oublier qu’il doit également répondre notamment du chef de prévention de faux dans les certificats, pour avoir présenté aux autorités, lors de son interpellation du 17 mai 2017, un document administratif contrefait censé établir une qualité de requérant d’asile attribué au canton de Zurich, ainsi qu’une pièce de légitimation allemande établie sous une fausse identité. A cet égard, c’est en vain que le recourant plaide d’ores et déjà le fond en contestant l’un au moins des éléments constitutifs de l’infraction, l’autorité n’ayant, au stade de la détention pour des motifs de sûreté, à examiner la qualification juridique des faits que sous l’angle de la simple vraisemblance (TF 1B_22/2016 du 2 février 2016 consid. 2.3). Ce délit est passible d'une peine privative de liberté de trois ans au plus ou d'une peine pécuniaire (art. 252 CP [Code pénal suisse; RS 311.0]). Rapprochée des antécédents du prévenu, cette infraction, si elle devait être retenue par l’autorité de jugement, paraît dénoter une énergie délictueuse significative; en effet, l’auteur aurait alors délibérément organisé son retour illicite en Suisse sous le couvert de fausses pièces de légitimation. Le concours réel d’infractions (art. 49 al. 1 CP) est en outre envisageable entre, notamment, le faux dans les certificats et les vols.</w:t>
      </w:r>
    </w:p>
    <w:p>
      <w:r>
        <w:t>- 6 - Ces divers éléments permettent, au vu du pouvoir d’appréciation dont dispose la Cour de céans en pareil cas (cf. CREP 13 septembre 2017/622), d’exclure que la détention avant jugement soit, à l’échéance du 16 novembre 2017, très proche de la durée de la peine privative de liberté à laquelle il faut s’attendre concrètement en cas de condamnation. Vu l’importance de ces facteurs, peu importe que la déduction à opérer au titre de la détention totale subie dans des conditions illicites soit de 15 jours (comme le propose le Ministère public), ou de 32 (comme le soutient le recourant). Ainsi, la détention avant jugement apparaît encore proportionnée à la peine susceptible d’être prononcée (art. 212 al. 3 CPP). Le principe de la proportionnalité est ainsi respecté, abstraction faite de la question de l’expulsion requise par ailleurs.</w:t>
      </w:r>
    </w:p>
    <w:p>
      <w:r>
        <w:rPr>
          <w:b/>
        </w:rPr>
        <w:t>E. 4</w:t>
      </w:r>
    </w:p>
    <w:p>
      <w:r>
        <w:t>En définitive, le recours, manifestement mal fondé, doit être rejeté, sans autre échange d’écritures (art. 390 al. 2 CPP), et l’ordonnance du 5 octobre 2017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540 fr., plus la TVA par 43 fr. 20, soit à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- 7 - Par ces motifs, la Chambre des recours pénale prononce : I. Le recours est rejeté. II. L’ordonnance du 5 octobre 2017 est confirmée. III. L’indemnité allouée au défenseur d’office de W.________ est fixée à 583 fr. 20 (cinq cent huitante-trois francs et vingt centimes). IV. Les frais d’arrêt, par 660 fr. (six cent soixante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le permette. VI. L’arrêt est exécutoire. Le président : Le greffier : Du Le présent arrêt, dont la rédaction a été approuvée à huis clos, est notifié, par l'envoi d'une copie complète, à : - Me Camille Perrier Depeursinge, avocate (pour W.________), - Ministère public central, et communiqué à : - Mme la Présidente du Tribunal des mesures de contrainte, - Mme la Procureure du Ministère public de l’arrondissement de l’Est vaudois, - Service de la population,</w:t>
      </w:r>
    </w:p>
    <w:p>
      <w:r>
        <w:t>- 8 -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