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PE17.009026 vom 8. April 2019</w:t>
      </w:r>
    </w:p>
    <w:p>
      <w:r>
        <w:t>VD Tribunal cantonal, 2019-04-08, FR</w:t>
      </w:r>
    </w:p>
    <w:p>
      <w:r>
        <w:rPr>
          <w:b/>
        </w:rPr>
        <w:t xml:space="preserve">Quelle: </w:t>
      </w:r>
      <w:r>
        <w:t>https://mcp.opencaselaw.ch/entscheid/vd_gerichte_PE17.009026</w:t>
      </w:r>
    </w:p>
    <w:p>
      <w:r>
        <w:t>FR: VD_GERICHTE PE17.009026 du 8 avril 2019</w:t>
      </w:r>
    </w:p>
    <w:p>
      <w:r>
        <w:t>IT: VD_GERICHTE PE17.009026 del 8 aprile 2019</w:t>
      </w:r>
    </w:p>
    <w:p>
      <w:pPr>
        <w:pStyle w:val="Heading2"/>
      </w:pPr>
      <w:r>
        <w:t>Erwägungen</w:t>
      </w:r>
    </w:p>
    <w:p>
      <w:r>
        <w:rPr>
          <w:b/>
        </w:rPr>
        <w:t>E. 1.1</w:t>
      </w:r>
    </w:p>
    <w:p>
      <w:r>
        <w:t>Les parties peuvent attaquer une ordonnance de classement rendue par le Ministère public en application des art. 319 ss CPP. Le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à l’autorité de recours (art. 322 al. 2 et 396 al. 1 CPP).</w:t>
      </w:r>
    </w:p>
    <w:p>
      <w:r>
        <w:rPr>
          <w:b/>
        </w:rPr>
        <w:t>E. 1.2</w:t>
      </w:r>
    </w:p>
    <w:p>
      <w:r>
        <w:t>En l'espèce, interjetés en temps utile devant l’autorité compétente, par des parties qui ont toutes deux qualité pour recourir (art. 382 al. 1 CPP), et satisfaisant aux conditions de forme prescrites (art. 385 al. 1 CPP), les recours formés par L.________ et R.________ sont recevables.</w:t>
      </w:r>
    </w:p>
    <w:p>
      <w:r>
        <w:rPr>
          <w:b/>
        </w:rPr>
        <w:t>E. 2.1</w:t>
      </w:r>
    </w:p>
    <w:p>
      <w:r>
        <w:t>L.________ invoque une violation de l’art. 319 CPP et du principe in dubio pro duriore. Il fait en substance valoir que l’expertise psychiatrique du 17 mai 2018 a mis en évidence sa vulnérabilité et son influençabilité dans les relations qu’il entretenait avec autrui et que, selon les experts, la nature de sa relation avec R.________ avait pu entraver sa volonté à s’opposer aux incitations de nature sexuelle de ce dernier, ce d’autant compte tenu de sa consommation de cannabis. Ainsi, le recourant relève qu’on ne saurait considérer qu’il avait la capacité de discernement au moment des faits. En outre, il soutient que R.________ ne pouvait ignorer qu’il souffrait de</w:t>
      </w:r>
    </w:p>
    <w:p>
      <w:r>
        <w:t>- 9 - troubles mentaux. Dans ces conditions, le recourant estime que les conditions de l’infraction d’actes d’ordre sexuel avec une personne incapable de discernement sont réunies. Pour le surplus, en vertu du principe in dubio pro duriore, le recourant relève que s’il devait y avoir un doute s’agissant de l’absence ou de la présence de sa capacité de discernement au moment des faits, il appartiendrait à un tribunal de trancher cette question, et non au Ministère public. En dernier lieu, L.________ reproche au Ministère public d’avoir refusé de mettre en œuvre les mesures d’instruction qu’il a sollicitées, à savoir l’audition de deux intervenants de [...] et la production des rétroactifs téléphoniques de R.________.</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 à savoir lorsque le comportement incriminé, quand bien même il serait établi, ne réalise les éléments constitutifs objectifs et subjectifs d’aucune infraction pénale (Grädel/Heiniger, in : Niggli/Heer/Wiprächtiger [éd.], Basler Kommentar, Schweizerische Strafprozessordnung, 2e éd., Bâle 2014, n. 9 ad art. 319 CPP) –,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 ci au classement). De manière générale, les motifs de classement sont ceux « qui déboucheraient à coup sûr ou du moins très probablement sur un</w:t>
      </w:r>
    </w:p>
    <w:p>
      <w:r>
        <w:t>- 10 - acquittement ou une décision similaire de l’autorité de jugement » (Message du Conseil fédéral relatif à l’unification du droit de la procédure pénale du 21 décembre 2005, FF 2006 pp. 1057 ss, spéc. p.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in dubio pro duriore – qui découle du principe de la légalité (art. 5 al. 1 Cst. [Constitution fédérale de la Confédération suisse du 18 avril 1999 ; RS 101] et 2 al. 2 CPP, en relation avec les art. 319 al. 1 et 324 CPP ; ATF 138 IV 86 consid. 4.2)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2.2.1, JdT 2017 IV 357 ; ATF 138 IV 86 consid. 4.1.1 ; ATF 138 IV 186 consid. 4.1 ; TF 6B_1177/2017 du 16 avril 2018).</w:t>
      </w:r>
    </w:p>
    <w:p>
      <w:r>
        <w:rPr>
          <w:b/>
        </w:rPr>
        <w:t>E. 2.2.2</w:t>
      </w:r>
    </w:p>
    <w:p>
      <w:r>
        <w:t>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 TF 6B_10/2014 du 1er mai 2014 consid. 4.1.1). Son but est de protéger les personnes qui ne sont pas en état d'exprimer ou de manifester physiquement leur opposition à l'acte sexuel. A la différence de la contrainte sexuelle (art. 189 CP) et du viol (art. 190 CP), la victime est</w:t>
      </w:r>
    </w:p>
    <w:p>
      <w:r>
        <w:t>- 11 -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(par ex. maladie mentale) ou passagère (par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consid. 7.2 ; TF 6B_10/2014 du 1er mai 2014 consid. 4.1.1 et l’arrêt cité).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(TF 6B_10/2014 du 1er mai 2014 consid. 4.1.1 et les arrêts cités). Sur le plan subjectif, l'art. 191 CP définit une infraction intentionnelle. La formule « sachant que »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(TF 6B_996/2017 du 7 mars 2018 consid. 1.1 et l’arrêt cité).</w:t>
      </w:r>
    </w:p>
    <w:p>
      <w:r>
        <w:rPr>
          <w:b/>
        </w:rPr>
        <w:t>E. 2.3</w:t>
      </w:r>
    </w:p>
    <w:p>
      <w:r>
        <w:t>En l’espèce, il est en substance reproché à R.________ d’avoir profité de la faiblesse d’esprit ou du trouble mental de L.________ pour lui imposer divers actes à caractère sexuel, tels que des fellations, en échange de sommes d’argent ou divers cadeaux ou avantages. Au cours de la procédure, le prévenu a globalement admis s’être livré aux actes</w:t>
      </w:r>
    </w:p>
    <w:p>
      <w:r>
        <w:t>- 12 - sexuels dénoncés. Expliquant que L.________ était d’accord, il a toutefois contesté toute contrainte. En outre, quand bien même ses déclarations n’étaient pas claires à cet égard, il a affirmé qu’il n’avait pas réalisé que la victime souffrait d’un trouble mental et qu’il se pouvait qu’il n’ait pas la capacité de discernement. L.________ a quant à lui déclaré qu’il n’avait jamais été forcé par le prévenu à se livrer aux actes sexuels litigieux, mais qu’il l’avait fait car il souhaitait notamment recevoir de l’argent en retour. Se fondant en particulier sur l’expertise ordonnée en cours d’enquête, le Procureur a considéré que L.________, malgré ses troubles, était capable de former sa volonté sur le plan sexuel et qu’il avait consenti aux rapports sexuels, de sorte que, selon lui, les conditions de l’infraction d’actes d’ordre sexuel commis sur une personne incapable de discernement ou de résistance n’étaient pas réunies. Le rapport d’expertise du 17 mai 2018 n’est toutefois pas aussi catégorique. Les experts ont certes indiqué que, de manière générale, L.________ était en mesure de former sa volonté sur le plan sexuel, soit de décider s’il souhaitait ou non se livrer à des actes d’ordre sexuel. Cependant, ils ont également relevé que la capacité volitive de l’intéressé pouvait, en raison des limitations de son fonctionnement psychique, être entravée par plusieurs facteurs, comme la nature de la relation qu’il entretenait avec le prévenu, la perspective de pouvoir échapper à des vécus de frustration au moyen des promesses de dons de ce dernier ou l’influence du cannabis. Or, en l’occurrence, on relève d’une part que, selon les pièces au dossier, la victime fumait régulièrement du cannabis, R.________ paraissant d’ailleurs même lui en fournir. D’autre part, les experts ont expressément mentionné que L.________ avait déclaré qu’il était dégouté par les actes sexuels, mais qu’il le faisait quand même, apparemment pour se voir offrir les avantages concernés de la part du prévenu. Ainsi, vu la teneur du rapport d’expertise, et compte tenu de la nature de la relation des protagonistes telle qu’elle est décrite de manière similaire par ceux-ci, force est de constater qu’il subsiste un sérieux doute concernant l’existence ou non de la capacité de discernement du prévenu au moment des faits.</w:t>
      </w:r>
    </w:p>
    <w:p>
      <w:r>
        <w:t>- 13 - Par ailleurs, au terme de leur rapport, les experts ont relevé que les affections psychiques de l’expertisé étaient visibles pour les tiers et que, de surcroît, si l’on comprend bien, un tiers devait pouvoir se rendre compte du fait que l’intéressé, s’il était sous l’influence du cannabis, pouvait ne pas être capable de se déterminer sur le plan sexuel. Ainsi, il apparaît que R.________ ne pouvait ignorer que L.________ souffrait de problèmes psychiques au moment des faits. De surcroît, dans le cadre de ses déclarations, le prévenu n’a pas expliqué de manière claire qu’il n’avait pas remarqué que la victime était en proie à des troubles psychiques. En outre, il ressort d’un message extrait de son téléphone portable qu’il semblait se douter que la victime avait des problèmes de ce type. Dans ces conditions, on ne saurait exclure que le prévenu n’avait pas conscience, à tout le moins par dol éventuel, de la potentielle incapacité de discernement de L.________ au moment des faits. Ainsi, au regard des éléments qui précèdent, il existe un doute quant à la réalisation des conditions de l’infraction d’actes d’ordre sexuel commis sur une personne incapable de discernement ou de résistance, si bien qu’une condamnation de R.________ n’apparaît en l’état pas moins vraisemblable qu’un acquittement. Le Ministère public ne pouvait dès lors pas rendre une ordonnance de classement. Le dossier de la cause devra donc être renvoyé à cette autorité. Il lui appartiendra, d’une part, de procéder, comme l’a sollicité le recourant, à l’audition des intervenants de [...] [...] et [...] afin que ces derniers fournissent notamment des explications au sujet du fonctionnement de L.________, en particulier sur la question de son intolérance à la frustration, relevée par les experts, et, le cas échéant, amènent des éléments nouveaux et objectifs au sujet des éventuelles rencontres du prévenu et de la victime au sein ou aux abords du foyer. D’autre part, et à moins que les témoins viennent contredire de manière sérieuse l’expertise, le Ministère public devra dresser un acte d’accusation à l’encontre du prévenu et le renvoyer devant l’autorité de jugement, à qui il appartiendra en définitive de juger la cause.</w:t>
      </w:r>
    </w:p>
    <w:p>
      <w:r>
        <w:t>- 14 - Le recours déposé par L.________ doit être admis et l’ordonnance de classement du 22 octobre 2018 annulée.</w:t>
      </w:r>
    </w:p>
    <w:p>
      <w:r>
        <w:rPr>
          <w:b/>
        </w:rPr>
        <w:t>E. 3</w:t>
      </w:r>
    </w:p>
    <w:p>
      <w:r>
        <w:t>Dans son recours, R.________ reproche au Procureur d’avoir mis les frais de procédure à sa charge et d’avoir refusé de lui allouer une indemnité au sens de l’art. 429 CPP. Vu l’admission du recours de L.________ et l’annulation de l’ordonnance de classement attaquée, le recours de R.________ se révèle sans objet.</w:t>
      </w:r>
    </w:p>
    <w:p>
      <w:r>
        <w:rPr>
          <w:b/>
        </w:rPr>
        <w:t>E. 4</w:t>
      </w:r>
    </w:p>
    <w:p>
      <w:r>
        <w:t>En définitive, le recours de L.________ doit être admis. L’ordonnance attaquée doit être annulée et le dossier de la cause renvoyé au Ministère public pour qu’il procède dans le sens des considérants. Le recours de R.________ doit quant à lui être déclaré sans objet. Les frais de la procédure de recours, constitués de l’émolument du présent arrêt, par 1’540 fr. (art. 20 al. 1 TFIP [tarif des frais de procédure et indemnités en matière pénale du 28 septembre 2010 ; BLV 312.03.1]), ainsi que des frais imputables à l’assistance judiciaire gratuite, par 540 fr., plus la TVA par 41 fr. 60, soit à 581 fr. 60 au total, et à la défense d’office, par 540 fr., plus la TVA par 41 fr. 60, soit à 581 fr. 60 au total, seront mis à la charge de R.________, qui succombe dans la mesure où il a conclu au rejet du recours (art. 428 al. 1 CPP). Par ces motifs, la Chambre des recours pénale prononce : I. Le recours de L.________ est admis. II. L’ordonnance du 22 octobre 2018 est annulée. III. Le recours de R.________ est sans objet.</w:t>
      </w:r>
    </w:p>
    <w:p>
      <w:r>
        <w:t>- 15 - IV. Le dossier de la cause est renvoyé au Ministère public de l’arrondissement de Lausanne pour qu’il procède dans le sens des considérants. V. L’indemnité allouée au conseil juridique gratuit de L.________ est fixée à 581 fr. 60 (cinq cent huitante et un francs et soixante centimes). VI. L’indemnité allouée au défenseur d’office de R.________ est fixée à 581 fr. 60 (cinq cent huitante et un francs et soixante centimes). VII. Les frais d’arrêt, par 1'540 fr. (mille cinq cent quarante francs), ainsi que l’indemnité due au conseil juridique gratuit de L.________, par 581 fr. 60 (cinq cent huitante et un francs et soixante centimes), et l’indemnité due au défenseur d’office de R.________, par 581 fr. 60 (cinq cent huitante et un francs et soixante centimes), sont mis à la charge de ce dernier. VIII. Le remboursement à l'Etat de l'indemnité allouée au chiffre VI ci-dessus ne sera exigible que pour autant que la situation financière de R.________ le permette. IX. L’arrêt est exécutoire. Le président : Le greffier : Du Le présent arrêt, dont la rédaction a été approuvée à huis clos, est notifié, par l'envoi d'une copie complète, à : - Me Xavier Rubli, avocat (pour L.________), - Me Xavier de Haller, avocat (pour R.________), - Ministère public central,</w:t>
      </w:r>
    </w:p>
    <w:p>
      <w:r>
        <w:t>- 16 -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