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PE17.008717 vom 19. April 2021</w:t>
      </w:r>
    </w:p>
    <w:p>
      <w:r>
        <w:t>VD Tribunal cantonal, 2021-04-19, FR</w:t>
      </w:r>
    </w:p>
    <w:p>
      <w:r>
        <w:rPr>
          <w:b/>
        </w:rPr>
        <w:t xml:space="preserve">Quelle: </w:t>
      </w:r>
      <w:r>
        <w:t>https://mcp.opencaselaw.ch/entscheid/vd_gerichte_PE17.008717</w:t>
      </w:r>
    </w:p>
    <w:p>
      <w:r>
        <w:t>FR: VD_GERICHTE PE17.008717 du 19 avril 2021</w:t>
      </w:r>
    </w:p>
    <w:p>
      <w:r>
        <w:t>IT: VD_GERICHTE PE17.008717 del 19 aprile 2021</w:t>
      </w:r>
    </w:p>
    <w:p>
      <w:pPr>
        <w:pStyle w:val="Heading2"/>
      </w:pPr>
      <w:r>
        <w:t>Erwägungen</w:t>
      </w:r>
    </w:p>
    <w:p>
      <w:r>
        <w:rPr>
          <w:b/>
        </w:rPr>
        <w:t>E. 4</w:t>
      </w:r>
    </w:p>
    <w:p>
      <w:r>
        <w:t>L'appelant invoque ensuite les mêmes arguments, mais sous l'angle de l'art. 13 CP pour l'infraction actes d'ordre sexuel avec des mineurs contre rémunération visée à l’art. 196 CP.</w:t>
      </w:r>
    </w:p>
    <w:p>
      <w:r>
        <w:t>- 14 -</w:t>
      </w:r>
    </w:p>
    <w:p>
      <w:r>
        <w:rPr>
          <w:b/>
        </w:rPr>
        <w:t>E. 4.1</w:t>
      </w:r>
    </w:p>
    <w:p>
      <w:r>
        <w:t>Aux termes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L'intention de réaliser la disposition pénale en question fait alors défaut (ATF 129 IV 238 consid. 3.1 ; TF 6B_1445/2019 du 17 avril 2020 consid. 3.1).</w:t>
      </w:r>
    </w:p>
    <w:p>
      <w:r>
        <w:rPr>
          <w:b/>
        </w:rPr>
        <w:t>E. 4.2</w:t>
      </w:r>
    </w:p>
    <w:p>
      <w:r>
        <w:t>Les premiers juges ont retenu, au bénéfice du doute, que l’appelant avait pu croire par erreur que l'enfant était âgée de plus de 16 ans (jgmt, p. 22). Or, l'art. 196 CP réprime une infraction commise à l'encontre d'une personne mineure et donc âgée de moins de 18 ans. Comme déjà retenu plus haut (cf. consid. 3.2 supra), on ne peut admettre, au bénéfice du doute, que l’appelant ait pu croire que la plaignante était majeure. D'abord, cette dernière lui a déclaré mensongèrement qu'elle avait 16 ou 17 ans, puis « presque 18 ans ». Elle n'a donc jamais déclaré être majeure et les variations sur son âge devaient d'autant inciter l’appelant à s'abstenir de toute sollicitation sexuelle rémunérée. En outre, la plaignante lui avait dit vouloir suivre une formation dans le domaine du maquillage, et les protagonistes ont échangé à propos du fait que l’appelant pourrait lui donner des manuels scolaires de français et de mathématiques, ce qui pouvait aussi laisser penser qu’elle était mineure aux moments des faits. Enfin, l’appelant s'est présenté comme « un guide avisé » (jgmt, p. 19) ce qui trahit aussi la conscience d'avoir affaire à une mineure. Dans ses premières déclarations à la police, il a d’ailleurs confirmé qu’il savait que la jeune fille n’était pas majeure et qu’il l’avait tout de même rémunérée contre des prestations sexuelles (PV aud. 1, pp.</w:t>
      </w:r>
    </w:p>
    <w:p>
      <w:r>
        <w:rPr>
          <w:b/>
        </w:rPr>
        <w:t>E. 5</w:t>
      </w:r>
    </w:p>
    <w:p>
      <w:r>
        <w:t>L'appelant conteste enfin sa condamnation pour pornographie. Il invoque les mêmes motifs d'erreur que pour les infractions précédentes.</w:t>
      </w:r>
    </w:p>
    <w:p>
      <w:r>
        <w:rPr>
          <w:b/>
        </w:rPr>
        <w:t>E. 5.1</w:t>
      </w:r>
    </w:p>
    <w:p>
      <w:r>
        <w:t>Conformément à l'art. 197 al. 4 CP,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L'interdiction de la pornographie dure sert au premier chef la protection des mineurs, mais protège aussi les adultes, dès lors qu'elle vise à empêcher l'effet corrompant (imitation) de tels actes sur le spectateur et indirectement à protéger les « acteurs » potentiels contre l'exploitation sexuelle, la violence et les traitements humiliants ou indignes (Dupuis et al. [éd.], Petit Commentaire du Code pénal, 2e éd., Bâle 2017, n. 4 ad art. 197 CP).</w:t>
      </w:r>
    </w:p>
    <w:p>
      <w:r>
        <w:rPr>
          <w:b/>
        </w:rPr>
        <w:t>E. 5.2</w:t>
      </w:r>
    </w:p>
    <w:p>
      <w:r>
        <w:t>Les premiers juges ont libéré l’appelant de pornographie (art. 197 al. 1 CP) s’agissant du premier épisode relaté au chiffre 1 de l’acte d’accusation, soit les messages à caractère sexuel accompagnant notamment des photographies de son sexe en érection qu’il avait adressés à l’enfant les 19 et 20 février 2017 (cf. chiffre 2.1 supra) en considérant l'erreur possible sur l'âge de la victime. Ils ont en revanche</w:t>
      </w:r>
    </w:p>
    <w:p>
      <w:r>
        <w:t>- 16 - condamné l’appelant pour tentative de pornographie (art. 197 al. 4 CP) s’agissant du deuxième épisode relaté au chiffre 1 de l’acte d’accusation, à savoir des photographies et messages à caractère sexuel que l’appelant avait adressés à l’enfant les 20 et 28 février 2017 (cf. chiffre 2.2 supra). Dans le premier cas, il s'agissait de pornographie dite douce protégeant les enfants jusqu'à 16 ans et dans le second de pornographie dite dure protégeant les mineurs. Cette appréciation ne prête pas le flanc à la critique et doit être confirmée. La première situation concerne en effet la représentation pornographique du corps d'un adulte, en l'espèce le sexe en érection de l’appelant, alors que la seconde concerne la représentation pornographique du corps d'une personne mineure, en l'espèce le sexe de la plaignante. Il s'agit donc bien de pornographie dite dure. Or, comme on l'a vu (cf. consid. 3.2 supra), il est exclu de considérer que l’appelant pouvait croire que la plaignante était majeure. A nouveau, l'infraction à l'art. 197 al. 4 CP a été commise à tout le moins par dol éventuel.</w:t>
      </w:r>
    </w:p>
    <w:p>
      <w:r>
        <w:rPr>
          <w:b/>
        </w:rPr>
        <w:t>E. 6</w:t>
      </w:r>
    </w:p>
    <w:p>
      <w:r>
        <w:t>Il résulte des considérants qui précèdent que les infractions retenues en première instance à l’encontre de V.________, à savoir actes d'ordre sexuel avec des enfants, tentative d'actes d'ordre sexuel avec des enfants, actes d'ordre sexuel avec des mineurs contre rémunération, tentative d'actes d'ordre sexuel avec des mineurs contre rémunération et tentative de pornographie, doivent être confirmées. Il n’y a par conséquent pas lieu d’allouer à l’appelant une indemnité au sens de l’art. 429 CP.</w:t>
      </w:r>
    </w:p>
    <w:p>
      <w:r>
        <w:rPr>
          <w:b/>
        </w:rPr>
        <w:t>E. 7</w:t>
      </w:r>
    </w:p>
    <w:p>
      <w:r>
        <w:t>A titre subsidiaire, l'appelant conteste la peine privative de liberté prononcée à son encontre, soit 24 mois avec sursis pendant 5 ans. Il soutient qu'il y aurait eu une violation du principe de célérité qui aurait dû conduire à une réduction de cette peine.</w:t>
      </w:r>
    </w:p>
    <w:p>
      <w:r>
        <w:t>- 17 -</w:t>
      </w:r>
    </w:p>
    <w:p>
      <w:r>
        <w:rPr>
          <w:b/>
        </w:rPr>
        <w:t>E. 7.1</w:t>
      </w:r>
    </w:p>
    <w:p>
      <w:r>
        <w:t>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qu'ultima ratio dans des cas extrêmes, à une ordonnance de classement (ATF 143 IV 373 consid. 1.4.1 ; ATF 135 IV 12 consid. 3.6 ; ATF 130 IV 54 consid. 3.3.1 et les réf. citées ; TF 6B_203/2019 du 10 avril 2019 consid. 3.1).</w:t>
      </w:r>
    </w:p>
    <w:p>
      <w:r>
        <w:rPr>
          <w:b/>
        </w:rPr>
        <w:t>E. 7.2</w:t>
      </w:r>
    </w:p>
    <w:p>
      <w:r>
        <w:t>En l'espèce, la procédure a été menée sans désemparer, ainsi que l'atteste le procès-verbal des opérations, qui comporte sur 11 pages les opérations de procédure accomplies sans aucun retard ni temps mort, à l'exception de la période d'août à octobre 2017 et de l'été 2018, ce qui est encore admissible compte tenu de la relative complexité des faits. Le moyen, mal fondé, doit donc être rejeté. Pour le reste, vérifiée d'office par la Cour de céans, la peine privative de liberté prononcée est adéquate, voire clémente et peut être approuvée par adoption de motifs (art. 82 al. 4 CPP, jgmt, p. 27). II. Appel de R.________</w:t>
      </w:r>
    </w:p>
    <w:p>
      <w:r>
        <w:rPr>
          <w:b/>
        </w:rPr>
        <w:t>E. 8</w:t>
      </w:r>
    </w:p>
    <w:p>
      <w:r>
        <w:t>La plaignante conteste le montant du tort moral qui lui a été alloué par 5'000 francs. Elle invoque une violation de son droit d'être entendue et une violation de l'art. 49 CO.</w:t>
      </w:r>
    </w:p>
    <w:p>
      <w:r>
        <w:t>- 18 -</w:t>
      </w:r>
    </w:p>
    <w:p>
      <w:r>
        <w:rPr>
          <w:b/>
        </w:rPr>
        <w:t>E. 8.1</w:t>
      </w:r>
    </w:p>
    <w:p>
      <w:r>
        <w:t>Aux termes de l'art. 49 CO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8.2</w:t>
      </w:r>
    </w:p>
    <w:p>
      <w:r>
        <w:t>Les premiers juges ont motivé, certes brièvement, les critères ayant présidé à la fixation du montant de l'indemnité allouée, de sorte qu'on ne distingue aucune violation du droit d'être entendu, qui serait de toute façon réparée par l'effet dévolutif complet de l'appel. S'agissant du montant alloué, les premiers juges ont relevé à raison que la plaignante présentait une fragilité psychologique préexistante et qu’elle avait eu un parcours de vie déjà mouvementé avant les faits de la présente cause. En effet, à la lecture du dossier de l’Autorité de protection des enfants et adolescents (APEA) des Coteaux du Soleil (P. 44), on constate qu’en 2016 déjà, soit avant les faits de la présente cause, la plaignante rencontrait d’importants problèmes scolaires et de comportement. Les conclusions du rapport du Service de psychiatrie de l'enfant et de l'adolescent de l'Hôpital du Valais, établi le 17 novembre 2020 et produit en appel seulement, ne permettent pas de modifier cette appréciation, les thérapeutes indiquant qu’ils ne pouvaient établir formellement de lien de causalité entre les faits objets de la présente procédure et les atteintes à l’état de santé de la</w:t>
      </w:r>
    </w:p>
    <w:p>
      <w:r>
        <w:t>- 19 - plaignante (P. 73/4). Partant, le montant alloué par les premiers juges à tire de réparation du tort moral est adéquat et doit être confirmé.</w:t>
      </w:r>
    </w:p>
    <w:p>
      <w:r>
        <w:rPr>
          <w:b/>
        </w:rPr>
        <w:t>E. 9</w:t>
      </w:r>
    </w:p>
    <w:p>
      <w:r>
        <w:t>En définitive, les appels de V.________ et de R.________ doivent être rejetés et le jugement entrepris intégralement confirmé. Vu l’issue des appels, les frais d’appel communs, soit l’émolument (art. 21 al. 1 et 2 TFIP [Tarif des frais de procédure et indemnités en matière pénale du 28 septembre 2010 ; BLV 312.03.1]), par 1'940 fr., seront mis par trois quarts, soit 1'455 fr., à la charge de l’appelant V.________ qui succombe et dont les moyens sont plus nombreux que ceux de l’appelante R.________. Le solde sera laissé à la charge de l’Etat pour des raisons d’équité et vu le statut de victime LAVI de la plaignante (art. 30 al. 3 LAVI ; ATF 141 IV 262). Outre l’émolument mentionné ci-dessus, les frais d’appel comprennent les indemnités en faveur du défenseur d’office du prévenu et du conseil de la plaignante (art. 422 al. 1 et al. 2 let. a CPP), lesquelles doivent être prises en compte séparément pour chaque partie, dans la même proportion que les frais communs. L’indemnité allouée à Me Myriam Bitschy, défenseur d’office de V.________, doit être arrêtée sur la base de la liste d’opérations produite (P. 87), la durée de l’audience étant prise en compte en sus à raison 40 minutes. C’est ainsi une activité d’avocat de 17h55 qui doit être retenue, rémunérée au tarif horaire de 180 fr., soit des honoraires de 3'225 fr., auxquels s’ajoutent une vacation forfaitaire de 120 fr. et des débours par 64 fr. 50, ainsi que la TVA sur le tout par 262 fr. 55. L’indemnité allouée à Me Myriam Bitschy pour la procédure d’appel s’élève ainsi à 3’672 fr. 05. Me Emilie Brabis Lehmann, conseil d’office de R.________, a également produit une liste d’opérations (P. 86) de laquelle il n’y a pas lieu de s’écarter sous réserve de l’ajout de 40 minutes d’audience d’appel. Sur la base d’une activité d’avocat de 7h30, les honoraires s’élèvent à</w:t>
      </w:r>
    </w:p>
    <w:p>
      <w:r>
        <w:t>- 20 - 1'350 fr., auxquels il convient d’ajouter une vacation de 120 fr., des débours forfaitaires, par 27 fr., et la TVA sur le tout, par 115 fr. 25, soit un total de 1'612 fr. 25. V.________ ne sera tenu de rembourser à l’Etat les trois quarts des indemnités en faveur de son défenseur d’office et du conseil d’office de la plaignante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