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PE17.008425 vom 11. August 2017</w:t>
      </w:r>
    </w:p>
    <w:p>
      <w:r>
        <w:t>VD Tribunal cantonal, 2017-08-11, FR</w:t>
      </w:r>
    </w:p>
    <w:p>
      <w:r>
        <w:rPr>
          <w:b/>
        </w:rPr>
        <w:t xml:space="preserve">Quelle: </w:t>
      </w:r>
      <w:r>
        <w:t>https://mcp.opencaselaw.ch/entscheid/vd_gerichte_PE17.008425</w:t>
      </w:r>
    </w:p>
    <w:p>
      <w:r>
        <w:t>FR: VD_GERICHTE PE17.008425 du 11 août 2017</w:t>
      </w:r>
    </w:p>
    <w:p>
      <w:r>
        <w:t>IT: VD_GERICHTE PE17.008425 del 11 agosto 2017</w:t>
      </w:r>
    </w:p>
    <w:p>
      <w:pPr>
        <w:pStyle w:val="Heading2"/>
      </w:pPr>
      <w:r>
        <w:t>Erwägungen</w:t>
      </w:r>
    </w:p>
    <w:p>
      <w:r>
        <w:rPr>
          <w:b/>
        </w:rPr>
        <w:t>E. 01</w:t>
      </w:r>
    </w:p>
    <w:p>
      <w:r>
        <w:t>mars 2017 00 :00 :00 au ven. 31 mars 2017 23 :59 :59 » relatif à la carte de fitness de D.________, censé établir que le prénommé est allé au fitness la veille du délit, n’est pas pertinent. En effet, peu importe que le recourant ait pu se trouver dans un fitness à […] le 24 mars 2017 à 18h20 car il pouvait très bien faire ensuite le trajet jusqu’en Suisse, ce qui prend environ 2h30 en voiture, et se trouver à la Migros de Clarens en fin de matinée le lendemain. S’agissant des autres éléments au dossier, il faut relever que lors de la perquisition effectuée le 2 juin 2017 en France, au domicile de D.________, la police a trouvé le même chapeau que sur les photos de vidéosurveillance. Un lecteur de carte jaune PostFinance suisse et une carte Tax Card Swisscom ont également été découverts et séquestrés. A cela s’ajoute que l’intéressé se déplaçait avec un vélo pour femme, soit avec le même moyen de transport que la personne ayant procédé aux divers retraits. Enfin, le recourant a d’importants antécédents en la matière, ce qui renforce encore les soupçons à son encontre.</w:t>
      </w:r>
    </w:p>
    <w:p>
      <w:r>
        <w:t>- 9 - Vu ce qui précède, il existe des indices suffisants de culpabilité justifiant la mise en détention provisoire de D.________.</w:t>
      </w:r>
    </w:p>
    <w:p>
      <w:r>
        <w:rPr>
          <w:b/>
        </w:rPr>
        <w:t>E. 5.1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et les réf.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et les réf. citées).</w:t>
      </w:r>
    </w:p>
    <w:p>
      <w:r>
        <w:t>- 10 -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w:t>
      </w:r>
    </w:p>
    <w:p>
      <w:r>
        <w:rPr>
          <w:b/>
        </w:rPr>
        <w:t>E. 5.2</w:t>
      </w:r>
    </w:p>
    <w:p>
      <w:r>
        <w:t>En l’occurrence, la Cour de céans constate que le prévenu a déjà fait l’objet de plusieurs condamnations en Suisse, soit les 3 octobre 2001, 7 janvier 2015 et 13 janvier 2015, notamment pour vol par métier, vol, utilisation frauduleuse d’un ordinateur par métier et utilisation frauduleuse d’un ordinateur, à des peines comprises entre 90 jours- amende avec sursis et deux ans d’emprisonnement. De plus, il ressort du casier judiciaire français de l’intéressé qu’il a été condamné en France à</w:t>
      </w:r>
    </w:p>
    <w:p>
      <w:r>
        <w:rPr>
          <w:b/>
        </w:rPr>
        <w:t>E. 9</w:t>
      </w:r>
    </w:p>
    <w:p>
      <w:r>
        <w:t>consid. 2.9 à 2.10).</w:t>
      </w:r>
    </w:p>
    <w:p>
      <w:r>
        <w:rPr>
          <w:b/>
        </w:rPr>
        <w:t>E. 9.1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9.2</w:t>
      </w:r>
    </w:p>
    <w:p>
      <w:r>
        <w:t>En l’espèce, le recourant est détenu depuis le 1er juin 2017, soit depuis moins de trois mois. Compte tenu des faits qui lui sont reprochés et de ses antécédents, il s'expose à une peine d’une durée</w:t>
      </w:r>
    </w:p>
    <w:p>
      <w:r>
        <w:t>- 14 - supérieure à celle de la détention provisoire subie à ce jour. Le principe de la proportionnalité demeure donc respecté. 10. Il résulte de ce qui précède que le recours, manifestement mal fondé, doit être rejeté sans autres échanges d’écritures (art. 390 al. 2 CPP). Les frais de la procédure de recours, constitués en l’espèce de l’émolument d'arrêt, par 1’430 fr. (art. 20 al. 1 TFIP [tarif des frais de procédure et indemnités en matière pénale du 28 septembre 2010; RSV 312.03.1]), seront mis à la charge de D.________, qui succombe (art. 428 al. 1 CPP). Par ces motifs, la Chambre des recours pénale prononce : I. Le recours est rejeté. II. L’ordonnance du 4 août 2017 est confirmée. III. Les frais d’arrêt, par 1'430 fr. (mille quatre cent trente francs), sont mis à la charge de D.________. IV. L’arrêt est exécutoire. Le président : La greffière : Du Le présent arrêt, dont la rédaction a été approuvée à huis clos, est notifié, par l'envoi d'une copie complète, à : - Me Philippe Liechti, avocat (pour D.________), - Ministère public central,</w:t>
      </w:r>
    </w:p>
    <w:p>
      <w:r>
        <w:t>- 15 - et communiqué à : - Mme la Présidente du Tribunal des mesures de contrainte, - Mme la Procureure de l’arrondissement de La Côte, - Service de la population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12</w:t>
      </w:r>
    </w:p>
    <w:p>
      <w:r>
        <w:t>reprises entre 1989 et 2013, principalement pour vol et escroquerie, à des peines privatives de liberté de plusieurs mois. Les infractions dont D.________ s’est rendu coupable par le passé sont de même nature que celles qui lui sont reprochées dans la présente affaire, lesquelles ont au surplus été commises au préjudice d’une population âgée et, par conséquent vulnérable, de sorte qu’il convient particulièrement de protéger l’intérêt public. Le risque de réitération est ainsi manifestement réalisé et justifie le maintien du recourant en détention provisoire. 6. 6.1 Selon la jurisprudence, le risque de fuite au sens de l'art. 221 al. 1 let. a CPP doit s'analyser en fonction d'un ensemble de critères tels que le caractère de l'intéressé, sa moralité, ses ressources, ses liens avec</w:t>
      </w:r>
    </w:p>
    <w:p>
      <w:r>
        <w:t>- 11 - l'Etat qui le poursuit ainsi que ses contacts à l'étranger, qui font apparaître le risque de fuite non seulement possible, mais également probable (ATF 117 Ia 69 consid. 4a p. 70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p. 62; ATF 117 Ia 69 consid. 4a p. 70). Il est sans importance que l'extradition du prévenu puisse être obtenue (ATF 123 I 31 consid. 3d pp. 36 s.). 6.2 En l’espèce, le recourant ne conteste pas le risque de fuite. On rappellera à toutes fins utiles que le prévenu est un ressortissant français, sans attache en Suisse. Les faits qui lui sont reprochés sont graves, puisqu’ils représentent des retraits frauduleux pour plusieurs milliers de francs effectués au moyen de cartes bancaires dérobées à des personnes âgées. Il existe ainsi un risque concret que D.________ quitte le territoire suisse pour se soustraire aux poursuites pénales engagées contre lui. Le risque de fuite est réalisé. 7. 7.1 Le maintien en détention provisoire se justifie notamment lorsqu’il y a sérieusement lieu de craindre que le prévenu compromette la recherche de la vérité en exerçant une influence sur des personnes ou en altérant des moyens de preuve (art. 221 al. 1 let. b CPP).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 cf. ATF 137 IV 122</w:t>
      </w:r>
    </w:p>
    <w:p>
      <w:r>
        <w:t>- 12 - consid. 6.2 et 6.4) –, vise à garantir la constatation exacte et complète des faits. 7.2 En l’espèce, le recourant ne conteste pas non plus le risque de collusion, à juste titre. Plusieurs mesures d’instruction doivent en effet encore être effectuées, d’une part afin d’établir l’étendue de l’activité délictueuse de D.________, et, d’autre part, de déterminer s’il a agi seul ou avec des complices. Sa mise en liberté lui permettrait de prendre cas échéant contact avec ceux-ci, notamment [...] et [...]. Le risque de collusion est ainsi réalisé. 8. 8.1 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let. a CPP, fait notamment partie des mesures de substitution la fourniture de sûretés. La libération moyennant sûretés implique un examen approfondi qui demande une certaine collaboration de la part du prévenu, dès lors que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(ATF 105 Ia 186 consid. 4a; TF 1P.165/2006 du 19 avril 2006 consid. 3.2.1, publié in SJ 2006 I p. 395 ; TF 1B_576/2012 du 19 octobre 2012 consid. 5.3). Il convient de faire preuve de prudence quant à l'origine des fonds proposés comme sûretés (TF 1B_576/2012 du 19 octobre 2012 consid. 5.3), en</w:t>
      </w:r>
    </w:p>
    <w:p>
      <w:r>
        <w:t>- 13 - particulier lorsque l'instruction porte sur des détournements de fonds (cf. TF 1P.570/2003 du 20 octobre 2003). 8.2 Le recourant propose le versement d’une caution de 15'000 €, soit 17'000 fr. en chiffres ronds, à titre de mesures de substitution. Comme l’a indiqué le Tribunal des mesures de contrainte, au vu du train de vie du prévenu tel qu’il ressort du dossier, on peut douter que la perspective de perdre cette somme d’argent agirait comme un frein suffisamment puissant pour écarter toute velléité de fuite, puisque D.________ est passible d’une peine sévère au vu des infractions reprochées et de ses nombreux antécédents. La mesure proposée ne serait pas en outre pas de nature à parer efficacement aux risques de récidive et de collusion également retenus. A ce stade, et vu la situation personnelle du recourant, aucune autre mesures de substitution n’est à même de parer aux risques retenus.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