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PE17.008402 vom 4. August 2017</w:t>
      </w:r>
    </w:p>
    <w:p>
      <w:r>
        <w:t>VD Tribunal cantonal, 2017-08-04, FR</w:t>
      </w:r>
    </w:p>
    <w:p>
      <w:r>
        <w:rPr>
          <w:b/>
        </w:rPr>
        <w:t xml:space="preserve">Quelle: </w:t>
      </w:r>
      <w:r>
        <w:t>https://mcp.opencaselaw.ch/entscheid/vd_gerichte_PE17.008402</w:t>
      </w:r>
    </w:p>
    <w:p>
      <w:r>
        <w:t>FR: VD_GERICHTE PE17.008402 du 4 août 2017</w:t>
      </w:r>
    </w:p>
    <w:p>
      <w:r>
        <w:t>IT: VD_GERICHTE PE17.008402 del 4 agosto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t>- 3 - Interjeté dans le délai légal auprès de l’autorité compétente par le plaignant qui a qualité pour recourir (art. 382 al. 1 CPP), le recours est recevable.</w:t>
      </w:r>
    </w:p>
    <w:p>
      <w:r>
        <w:rPr>
          <w:b/>
        </w:rPr>
        <w:t>E. 2.1.1</w:t>
      </w:r>
    </w:p>
    <w:p>
      <w:r>
        <w:t>Aux termes de l'art. 310 al. 1 CPP, une ordonnance de non- 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2.1.2</w:t>
      </w:r>
    </w:p>
    <w:p>
      <w:r>
        <w:t>Selon l’art. 67 CPP, la Confédération et les cantons déterminent les langues dans lesquelles leurs autorités pénales conduisent les procédures (al. 1). Les autorités pénales cantonales accomplissent tous les actes de procédure dans ces langues ; la direction de la procédure peut autoriser des dérogations (al. 2). Les autorités du canton peuvent n’accepter que les actes rédigés dans la langue officielle ; elles doivent toutefois impartir un délai à la partie pour produire un acte conforme, soit rédigé dans la langue officielle (ATF 143 IV 117).</w:t>
      </w:r>
    </w:p>
    <w:p>
      <w:r>
        <w:t>- 4 - Aux termes de l’art. 16 LVCPP, dans le canton de Vaud, la langue de la procédure est le français.</w:t>
      </w:r>
    </w:p>
    <w:p>
      <w:r>
        <w:rPr>
          <w:b/>
        </w:rPr>
        <w:t>E. 2.2</w:t>
      </w:r>
    </w:p>
    <w:p>
      <w:r>
        <w:t>En l’espèce, le recourant a rédigé sa plainte datée du 26 avril 2017 en anglais, alors même qu’une demande de mise en conformité du Ministère public, laquelle requérait expressément que l’acte soit écrit en français, lui avait été adressée. Ainsi, dans la mesure où la langue officielle du canton de Vaud est le français et que le recourant a bénéficié d’un délai pour déposer un acte en français, en vain, le refus d’entrer en matière du Procureur ne prête pas le flanc à la critique. Par ailleurs, le fait que le recours soit rédigé en français n’est pas de nature à corriger le vice constaté devant le Ministère public. Toutefois, le recourant conserve la possibilité de renouveler sa plainte pénale auprès de celui-ci, pour autant qu’elle soit conforme aux exigences légales, soit qu’elle soit rédigée en français et qu’elle contienne sa signature manuscrite.</w:t>
      </w:r>
    </w:p>
    <w:p>
      <w:r>
        <w:rPr>
          <w:b/>
        </w:rPr>
        <w:t>E. 3</w:t>
      </w:r>
    </w:p>
    <w:p>
      <w:r>
        <w:t>En définitive, le recours, manifestement mal fondé, doit être rejeté sans échange d’écritures (art. 390 al. 2 CPP) et l’ordonnance attaquée confirmée. Les frais de la procédure de recours, constitués du seul émolument d’arrêt (art. 422 al. 1 CPP), par 440 fr. (art. 20 al. 1 TFIP [Tarif des frais de procédure et indemnités en matière pénale du 28 septembre 2010 ; RSV 312.03.1]), seront exceptionnellement laissés à la charge de l’Etat (art. 425 CPP et 6 al. 2 TFIP). Par ces motifs, la Chambre des recours pénale prononce : I. Le recours est rejeté. II. L’ordonnance du 9 mai 2017 est confirmée.</w:t>
      </w:r>
    </w:p>
    <w:p>
      <w:r>
        <w:t>- 5 - III. Les frais d’arrêt, par 440 fr. (quatre cent quarante francs), sont laissés à la charge de l’Etat. IV. L’arrêt est exécutoire. Le président : Le greffier : Du Le présent arrêt, dont la rédaction a été approuvée à huis clos, est notifié, par l'envoi d'une copie complète, à : - M. P.________, - Ministère public central, et communiqué à : - M. le Procureur a.i.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