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PE17.008357 vom 31. Mai 2018</w:t>
      </w:r>
    </w:p>
    <w:p>
      <w:r>
        <w:t>VD Tribunal cantonal, 2018-05-31, FR</w:t>
      </w:r>
    </w:p>
    <w:p>
      <w:r>
        <w:rPr>
          <w:b/>
        </w:rPr>
        <w:t xml:space="preserve">Quelle: </w:t>
      </w:r>
      <w:r>
        <w:t>https://mcp.opencaselaw.ch/entscheid/vd_gerichte_PE17.008357</w:t>
      </w:r>
    </w:p>
    <w:p>
      <w:r>
        <w:t>FR: VD_GERICHTE PE17.008357 du 31 mai 2018</w:t>
      </w:r>
    </w:p>
    <w:p>
      <w:r>
        <w:t>IT: VD_GERICHTE PE17.008357 del 31 maggio 2018</w:t>
      </w:r>
    </w:p>
    <w:p>
      <w:pPr>
        <w:pStyle w:val="Heading2"/>
      </w:pPr>
      <w:r>
        <w:t>Erwägungen</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2e phrase, CPP).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 ATF 130 IV 72 consid. 1 ; TF 6B_426/2018 du 5 juillet 2018 consid. 3.2).</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Jugendstraprozessordnung, 2e éd., Bâle 2014, n. 6 ad art. 411 CPP). Cela signifie que le requérant doit indiquer les points de la décision qu’il</w:t>
      </w:r>
    </w:p>
    <w:p>
      <w:r>
        <w:t>- 4 -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6B_882/2017 du 23 mars 2018 consid. 1.1).</w:t>
      </w:r>
    </w:p>
    <w:p>
      <w:r>
        <w:rPr>
          <w:b/>
        </w:rPr>
        <w:t>E. 2.1</w:t>
      </w:r>
    </w:p>
    <w:p>
      <w:r>
        <w:t>E.________ allègue que son expulsion de Suisse l'empêcherait d'exercer son droit de visite sur ses enfants, en particulier sur le petit U.________ (ci-après : U.________) qui ne disposerait pas des autorisations nécessaires pour quitter la Suisse. Ces faits ne sont pas nouveaux. L'intéressé savait, au moment de son arrestation (le 3 mars 2017), que sa compagne était enceinte. D'après l'acte de naissance qu'il a produit, l'enfant U.________ est né le 14 juillet 2017. Entendu par les premiers juges postérieurement à cette date, le 31 mai 2018, E.________ n'a fait aucune allusion à ses enfants; il s'est exprimé en ces termes : "J'admets les faits tels que relatés par l'acte d'accusation. J'ai compris la sanction proposée et j'y adhère. Je confirme ne pas avoir subi de pression pour accepter l'acte d'accusation et c'est</w:t>
      </w:r>
    </w:p>
    <w:p>
      <w:r>
        <w:t>- 5 - volontairement que je me suis soumis à la procédure simplifiée. J'ai conscience de renoncer aux voies de recours sous réserve de celles prévues par l'art. 362 al. 5 CPP" (cf. PV aud. p. 4). Pour sa part, au vu du dossier, l'autorité de jugement n'ignorait pas que l'intéressé était père de famille. Elle a pris ce fait en considération pour rendre le jugement du 31 mai 2018 dont la révision est requise.</w:t>
      </w:r>
    </w:p>
    <w:p>
      <w:r>
        <w:rPr>
          <w:b/>
        </w:rPr>
        <w:t>E. 2.2</w:t>
      </w:r>
    </w:p>
    <w:p>
      <w:r>
        <w:t>Le requérant souhaite obtenir la garde de son dernier né, U.________, pour le sortir du foyer où il aurait été urgemment placé en novembre 2018, en raison de l'état de santé mentale de sa mère. Si l'on peut admettre que le placement urgent postérieur au jugement ne pouvait pas être connu au moment où le premier juge a statué, le fait invoqué n'est pas sérieux. Il ne permet en effet pas d'ébranler les constatations sur lesquelles se fonde la sanction d'expulsion infligée à E.________. Cette sanction repose sur les faits admis par l'intéressé qui sont notamment constitutifs de vol et de violation de domicile. Le fait que l'intéressé ait, à son dire, tout mis en œuvre pour être en mesure d'assumer la garde de son fils U.________ dès sa sortie de prison, prévue pour le 29 septembre 2019, ne saurait davantage fonder une révision du jugement entrepris. On relève, quoi qu'il en soit, que l'expulsion de l'intéressé ne le prive pas de son droit de demander à l'autorité compétente l'autorité parentale sur son fils et d'être ainsi en mesure de s'occuper de lui.</w:t>
      </w:r>
    </w:p>
    <w:p>
      <w:r>
        <w:rPr>
          <w:b/>
        </w:rPr>
        <w:t>E. 3</w:t>
      </w:r>
    </w:p>
    <w:p>
      <w:r>
        <w:t>Il résulte de ce qui précède que les motifs invoqués ne sont ni nouveaux, ni sérieux et qu'ils sont mal fondés, de sorte que la demande de révision présentée par E.________ doit être déclarée irrecevable sans échange d’écritures (art. 412 al. 2 et 3 CPP). Le présent jugement est rendu sans frais.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