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PE17.008287 vom 20. Mai 2019</w:t>
      </w:r>
    </w:p>
    <w:p>
      <w:r>
        <w:t>VD Tribunal cantonal, 2019-05-20, FR</w:t>
      </w:r>
    </w:p>
    <w:p>
      <w:r>
        <w:rPr>
          <w:b/>
        </w:rPr>
        <w:t xml:space="preserve">Quelle: </w:t>
      </w:r>
      <w:r>
        <w:t>https://mcp.opencaselaw.ch/entscheid/vd_gerichte_PE17.008287</w:t>
      </w:r>
    </w:p>
    <w:p>
      <w:r>
        <w:t>FR: VD_GERICHTE PE17.008287 du 20 mai 2019</w:t>
      </w:r>
    </w:p>
    <w:p>
      <w:r>
        <w:t>IT: VD_GERICHTE PE17.008287 del 20 maggio 2019</w:t>
      </w:r>
    </w:p>
    <w:p>
      <w:pPr>
        <w:pStyle w:val="Heading2"/>
      </w:pPr>
      <w:r>
        <w:t>Erwägungen</w:t>
      </w:r>
    </w:p>
    <w:p>
      <w:r>
        <w:rPr>
          <w:b/>
        </w:rPr>
        <w:t>E. 8</w:t>
      </w:r>
    </w:p>
    <w:p>
      <w:r>
        <w:t>mars 2018 consid. 3.2).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TF 6B_150/2017 du 11 janvier 2018 consid. 3.3, non publié aux ATF 144 IV 52). 3.3 En l’espèce, le prévenu n’est pas crédible lorsqu’il affirme qu’il pensait que tous les soins ne pouvaient pas dépasser le premier devis du 7 décembre 2015 au vu de la différence entre les traitements devisés et les traitements subis. Il n’a en outre pas déclaré à la plaignante qu’il était bénéficiaire de l’aide sociale. Il a seulement indiqué être aide-comptable, travailler et avoir deux enfants. A cet égard, il n’a commis aucune tromperie, puisqu’il a bien cette formation. De plus, lors du traitement dont il a bénéficié au début de l’année 2017, il exerçait en qualité d’aide- comptable auprès de L.________ (P. 35/2). Quand bien même il ne percevait pas de revenu de cette activité, il est notoire qu’un salaire d’aide- comptable n’est pas très élevé, d’autant moins auprès d’une société à but non lucratif telle que L.________ ; cet employeur était connu à tout le moins</w:t>
      </w:r>
    </w:p>
    <w:p>
      <w:r>
        <w:t>- 19 - de l’assistante dentaire du cabinet (jugement, p. 8). Ainsi, la plaignante devait se rendre compte que ce travail, quelle que soit la source de son revenu, ne permettait pas de s’acquitter de soins dentaires qui s’élevaient à plus de 18'000 fr., et encore moins pour une personne qui a charge familiale. Ces indications étaient suffisantes pour que la plaignante sache parfaitement que le revenu présumé du prévenu ne lui permettrait pas de financer le traitement prodigué. Le fait que le prévenu aurait dit, ce qui n’est pas établi, qu’il avait fêté son anniversaire en grandes pompes n’y change rien. Par ailleurs, la plaignante avait bien compris que le prévenu cherchait un financement d’un tiers et qu’ainsi, il n’était pas en mesure de payer les soins prodigués. Ceci est confirmé par deux courriels du 13 avril 2017, le premier émanant du prévenu, qui indiquait avoir effectué une demande de crédit, ainsi que par la réponse de la Dresse J.________, qui a le contenu suivant : « Le 13 février 2017, vous m’avez informé être en attente d’un financement que vous aviez demandé. Vous m’avez également informé que si votre demande de financement tardait à vous être accordée, vous procéderiez à des paiements » (P. 5). Le journal tenu par l’assistante dentaire W.________ mentionne également les recherches de financement du patient, qui parlait d’une demande effectuée auprès d’une banque (P. 9), ce qui ne signifiait pas encore qu’elle serait acceptée. Le prévenu n’a donc pas trompé la plaignante sur sa solvabilité et la plaignante pouvait s’attendre à ce qu’il ne puisse pas s’acquitter des factures, puisqu’elle avait connaissance de son manque de liquidités. Il ressort des déclarations de la Dresse J.________ et de l’assistante dentaire W.________ que les soins prodigués au prévenu étaient en partie urgents et en tout cas nécessaires, le témoin ayant notamment confirmé que le patient risquait de perdre des dents (jugement, pp 7 et 8). Dans ces circonstances, le prévenu pouvait de bonne foi penser que l’Hospice général allait prendre en charge les soins nécessaires. Il a au demeurant fait des démarches en ce sens (P. 7). Le dessein d’enrichissement illégitime n’est donc pas réalisé. Par ailleurs, ce traitement aurait vraisemblablement pu être remboursé, à tout le moins</w:t>
      </w:r>
    </w:p>
    <w:p>
      <w:r>
        <w:t>- 20 - en partie, par l’Hospice général si un devis complet avait été présenté avant les interventions. A cet égard, on ne peut qu’être surpris de la pratique (confirmée par W.________ à l’audience d’appel) consistant à fournir des devis élevés en mains propres juste avant de procéder à une intervention (jugement, p. 6), sans avoir laissé le temps de la réflexion au patient, ni la possibilité d’obtenir un financement préalablement. Dans ces circonstances, force est de constater que la plaignante ne s’est pas prémunie du dommage, puisqu’elle n’a pas pris toutes les mesures pour éviter sa réalisation. Elle aurait à tout le moins pu arrêter le traitement après l’opération de freinectomie effectuée le 13 février 2017, jour où le prévenu a expliqué avoir besoin d’un financement d’un tiers ou s’en tenir aux soins urgents. Il apparaissait en effet clairement que le patient n’aurait pas les moyens de payer la suite du traitement, qui s’est monté à 15'049 francs. En définitive, compte tenu des indications que le prévenu a données sur sa profession, ses charges familiales, ses recherches de financement et du montant des traitements, la plaignante ne pouvait que savoir qu’il aurait des difficultés à payer et qu’il cherchait des fonds à cet effet. Dans ces circonstances, l’astuce n’est pas réalisée. La plaignante devait s’assurer, vu les montants en jeu, que son patient avait les moyens de payer les soins envisagés avant de les prodiguer. Il s’ensuit que l’infraction d’escroquerie n’est pas réalisée. 5. Au vu de ce qui précède, l’appel doit être rejeté et le jugement confirmé. Le défenseur d’office d’G.________, Me Joël Crettaz, a produit une liste d’opérations faisant état d’une durée de 13 heures et 44 minutes d’activités effectuées par un avocat-stagiaire, Me Maxime Flattet. Il n’y a pas lieu de s’en écarter, hormis s’agissant de l’audience d’appel, qui a duré 2 heures et 30 minutes, ce qui justifie de soustraire 30 minutes à la durée de 3 heures prévue à cet effet (P. 60). Au tarif de 110 fr. de l’heure (cf. art. 2 al. 1 RAJ [règlement sur l’assistance judiciaire en matière civile</w:t>
      </w:r>
    </w:p>
    <w:p>
      <w:r>
        <w:t>- 21 - du 7 décembre 2010 ; BLV 211.02.3], applicable par analogie en vertu de l’art. 26b TFIP [tarif des frais de procédure et indemnités en matière pénale du 28 septembre 2010 ; BLV 312.03.1]), il convient d’allouer au défenseur d’office un montant de 1’475 fr. à titre d’honoraires. A cela s’ajoutent un forfait pour les débours de 2% (cf. art. 26b TFIP qui renvoie à l'art. 3bis RAJ), par 29 fr. 50, une vacation par 80 fr., ainsi que la TVA sur le tout, au taux de 7,7%, par 122 francs. Partant, une indemnité d’un montant total de 1'706 fr. 50 sera allouée à Me Joël Crettaz. Vu l’issue de la cause, les frais de deuxième instance, constitués en l’espèce de l’émolument de jugement, par 1'910 fr. (art. 21 al. 1 et 2 TFIP), ainsi que de l’indemnité allouée au défenseur d’office du prévenu, par 1'706 fr. 50, le tout totalisant 3'616 fr. 50, doivent être mis à la charge de l’appelante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