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PE17.007565 vom 8. August 2017</w:t>
      </w:r>
    </w:p>
    <w:p>
      <w:r>
        <w:t>VD Tribunal cantonal, 2017-08-08, FR</w:t>
      </w:r>
    </w:p>
    <w:p>
      <w:r>
        <w:rPr>
          <w:b/>
        </w:rPr>
        <w:t xml:space="preserve">Quelle: </w:t>
      </w:r>
      <w:r>
        <w:t>https://mcp.opencaselaw.ch/entscheid/vd_gerichte_PE17.007565</w:t>
      </w:r>
    </w:p>
    <w:p>
      <w:r>
        <w:t>FR: VD_GERICHTE PE17.007565 du 8 août 2017</w:t>
      </w:r>
    </w:p>
    <w:p>
      <w:r>
        <w:t>IT: VD_GERICHTE PE17.007565 del 8 agosto 2017</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t>- 3 -</w:t>
      </w:r>
    </w:p>
    <w:p>
      <w:r>
        <w:rPr>
          <w:b/>
        </w:rPr>
        <w:t>E. 1.2</w:t>
      </w:r>
    </w:p>
    <w:p>
      <w:r>
        <w:t>En l’espèce, interjeté dans le délai légal auprès de l’autorité compétente par un plaignant qui a qualité pour recourir (art. 382 al. 1 CPP), le recours de L.________ est recevable en tant qu’il le concerne. Celui- ci, qui a signé seul le recours, semble en effet agir également au nom et pour le compte de W.________ et G.________, ce qu’il ne serait pas admis à faire. La question de la recevabilité du recours en tant qu’elle concerne les autres plaignants peut toutefois rester ouverte, dès lors que le recours doit en tout état de cause être rejeté.</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w:t>
      </w:r>
    </w:p>
    <w:p>
      <w:r>
        <w:t>- 4 - preuve d’une infraction à la charge d’une personne déterminée (cf. TF 1B_67/2012 du 29 mai 2012 consid. 3.2).</w:t>
      </w:r>
    </w:p>
    <w:p>
      <w:r>
        <w:rPr>
          <w:b/>
        </w:rPr>
        <w:t>E. 2.2</w:t>
      </w:r>
    </w:p>
    <w:p>
      <w:r>
        <w:t>En l’espèce, force est de constater que les éléments constitutifs des infractions de mise en danger de la vie d’autrui, lésions corporelles par négligence et omission de prêter secours ne sont pas réalisés. A l’évidence, les faits dénoncés par L.________ et sa famille ne sont constitutifs d’aucun comportement pénalement répréhensible. Il s’agit bien plus d’un litige relevant du droit civil, voire du droit administratif. Ainsi, si les plaignants s’estiment notamment lésés par leur bailleur ou leur assurance protection juridique, il leur appartient de faire valoir leurs droits par la voie civile ou administrative. Il résulte de ce qui précède que c'est à juste titre que le Procureur a refusé d'entrer en matière sur la plainte pénale du recourant et de sa famille.</w:t>
      </w:r>
    </w:p>
    <w:p>
      <w:r>
        <w:rPr>
          <w:b/>
        </w:rPr>
        <w:t>E. 3</w:t>
      </w:r>
    </w:p>
    <w:p>
      <w:r>
        <w:t>En conséquence, le recours, manifestement mal fondé, doit être rejeté dans la mesure où il est recevable (cf. consid. 1.2 supra), sans autres échanges d’écritures (art. 390 al. 2 CPP), et l’ordonnance attaquée confirmée. Les frais de la procédure de recours, constitués en l’espèce du seul émolument d’arrêt, par 440 fr. (art. 422 al. 1 CPP ; art. 20 al. 1 et 2 TFIP [Tarif des frais de procédure et indemnités en matière pénale du 28 septembre 2010; RSV 312.03.1]), seront mis à la charge du recourant, qui succombe (428 al. 1 CPP). Ces frais seront compensés avec le montant de 550 fr. déjà versé par celui-ci à titre de sûretés et le solde, par 110 fr., lui sera restitué.</w:t>
      </w:r>
    </w:p>
    <w:p>
      <w:r>
        <w:t>- 5 - Par ces motifs, la Chambre des recours pénale prononce : I. Le recours est rejeté dans la mesure où il est recevable. II. L’ordonnance du 8 mai 2017 est confirmée. III. Les frais de la procédure de recours, par 440 fr. (quatre cent quarante francs), sont mis à la charge du recourant. IV. Les frais mis à la charge du recourant au chiffre III ci-dessus sont compensés avec le montant de 550 fr. (cinq cent cinquante francs) déjà versé par celui-ci à titre de sûretés et le solde, par 110 fr. (cent dix francs), lui est restitué. V. L’arrêt est exécutoire. Le président : La greffière : Du Le présent arrêt, dont la rédaction a été approuvée à huis clos, est notifié, par l'envoi d'une copie complète, à : - M.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