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PE17.007349 vom 8. November 2018</w:t>
      </w:r>
    </w:p>
    <w:p>
      <w:r>
        <w:t>VD Tribunal cantonal, 2018-11-08, FR</w:t>
      </w:r>
    </w:p>
    <w:p>
      <w:r>
        <w:rPr>
          <w:b/>
        </w:rPr>
        <w:t xml:space="preserve">Quelle: </w:t>
      </w:r>
      <w:r>
        <w:t>https://mcp.opencaselaw.ch/entscheid/vd_gerichte_PE17.007349</w:t>
      </w:r>
    </w:p>
    <w:p>
      <w:r>
        <w:t>FR: VD_GERICHTE PE17.007349 du 8 novembre 2018</w:t>
      </w:r>
    </w:p>
    <w:p>
      <w:r>
        <w:t>IT: VD_GERICHTE PE17.007349 del 8 novembre 2018</w:t>
      </w:r>
    </w:p>
    <w:p>
      <w:pPr>
        <w:pStyle w:val="Heading2"/>
      </w:pPr>
      <w:r>
        <w:t>Erwägungen</w:t>
      </w:r>
    </w:p>
    <w:p>
      <w:r>
        <w:rPr>
          <w:b/>
        </w:rPr>
        <w:t>E. 1</w:t>
      </w:r>
    </w:p>
    <w:p>
      <w:r>
        <w:t>Les parties peuvent attaquer une ordonnance de non-entrée en matière rendue par le ministère public dans les dix jours devant l’autorité de recours (art. 310 al. 2 et 322 al. 2 CPP [Code de procédure pénale suisse du 5 octobre 2007 ; RS 312.0]),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dans le délai légal et dans les formes prescrites (art. 385 al. 1 CPP) auprès de l’autorité compétente.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w:t>
      </w:r>
    </w:p>
    <w:p>
      <w:r>
        <w:t>- 5 -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indique tout d’abord qu’il n’aurait pas eu accès au dossier et qu’il ne pourrait dès lors se fonder que sur les « quelques explications sommaires données dans l’ordonnance de non-entrée en matière ». Dans un premier grief, il reproche à la Procureure d’avoir considéré que le fait de ne pas amener de fonds dans une société anonyme alors que les actes de celle-ci préciseraient qu’un montant de 250'000 fr. aurait été investi ne constituait pas un délit pénal et il est d’avis qu’il conviendrait de vérifier si un faux dans les titres aurait été commis à cette occasion. Dans un second grief, il fait valoir que des investigations complémentaires devraient être menées pour savoir si le solde dû sur l’acquisition du matériel de réfrigération aurait effectivement été acquitté ou serait en voie de l’être. Enfin, le recourant estime qu’il serait indispensable d’inviter le prévenu à produire les décomptes relatifs aux festivals à l’occasion desquels certains encaissements n’auraient pas été comptabilisés et de l’interroger à ce sujet, afin de déterminer si la comptabilité serait fausse. Il requiert en outre de pouvoir compléter son argumentation une fois qu’il aura été en mesure de consulter le dossier de la cause.</w:t>
      </w:r>
    </w:p>
    <w:p>
      <w:r>
        <w:rPr>
          <w:b/>
        </w:rPr>
        <w:t>E. 3.2</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w:t>
      </w:r>
    </w:p>
    <w:p>
      <w:r>
        <w:t>- 6 -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 TF 6B_531/2016 du 5 mai 2017 consid. 3.1 ; Perrier, Commentaire romand, Code de procédure pénale suisse, Bâle 2011, n. 6 et 8 ad art. 115 CPP et les arrêts cités ; Mazzuchelli/Postizzi, Basler Kommentar, Schweizerische Strafprozessordnung, Jugendstrafprozessordnung, 2e éd., Bâle 2014, n. 21 ad art. 115 CPP ; ATF 138 IV 258 consid. 2.2 et 2.3 et les références citées ; TF 6B_557/2011 du 9 mars 2011 consid. 5.1, cités par Garbarski, Le lésé et la partie plaignante en procédure pénale : état des lieux de la jurisprudence récente, SJ 2012 II 123, spéc. p. 124). Les personnes subissant un préjudice indirect n'ont pas le statut de lésé et sont donc des tiers n'ayant pas accès au statut de partie à la procédure (Jeanneret/Kuhn, Précis de procédure pénale, Berne 2013, n. 7017).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6B_116/2015 du 8 octobre 2015 consid. 2.1 et les références citées). Lorsqu’une infraction est perpétrée au détriment notamment du patrimoine d’une personne morale, seule celle-ci subit un dommage et peut donc prétendre à la qualité de lésé, à l’exclusion des actionnaires</w:t>
      </w:r>
    </w:p>
    <w:p>
      <w:r>
        <w:t>- 7 - d’une société anonyme, des associés d’une société à responsabilité limitée, des ayants droit économiques et des créanciers desdites sociétés (ATF 140 IV 155 consid. 3.3.1 ; ATF 138 IV 258 consid. 2.3 ; TF 6B_116/2015 précité).</w:t>
      </w:r>
    </w:p>
    <w:p>
      <w:r>
        <w:rPr>
          <w:b/>
        </w:rPr>
        <w:t>E. 3.3</w:t>
      </w:r>
    </w:p>
    <w:p>
      <w:r>
        <w:t>En l’espèce, les agissements reprochés par le recourant au prévenu constituent tous des atteintes aux biens patrimoniaux de leur société, qui est la seule lésée. B.________, en sa qualité d’actionnaire, n’est qu’indirectement touché par ces agissements. Il n’expose du reste pas en quoi il aurait subi un préjudice direct à titre personnel, son argumentation étant d’ailleurs pour le moins sommaire. Au vu de ce qui précède, la qualité pour recourir au sens de l'art. 382 al. 1 CPP doit être déniée à B.________ qui ne peut, en sa qualité d’actionnaire, qu’être considéré comme un dénonciateur.</w:t>
      </w:r>
    </w:p>
    <w:p>
      <w:r>
        <w:rPr>
          <w:b/>
        </w:rPr>
        <w:t>E. 4</w:t>
      </w:r>
    </w:p>
    <w:p>
      <w:r>
        <w:t>Partant, le recours de B.________ doit être déclaré irrecevable. Les frais d’arrêt, par 770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770 fr. (sept cent septante francs), sont mis à la charge de B.________.</w:t>
      </w:r>
    </w:p>
    <w:p>
      <w:r>
        <w:t>- 8 - III. L’arrêt est exécutoire. Le président : La greffière : Du Le présent arrêt, dont la rédaction a été approuvée à huis clos, est notifié, par l'envoi d'une copie complète, à : - Me Yves Hofstetter, avocat (pour B.________), - Me David Parisod, avocat (pour C.________ 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