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PE17.007347 vom 15. November 2017</w:t>
      </w:r>
    </w:p>
    <w:p>
      <w:r>
        <w:t>VD Tribunal cantonal, 2017-11-15, FR</w:t>
      </w:r>
    </w:p>
    <w:p>
      <w:r>
        <w:rPr>
          <w:b/>
        </w:rPr>
        <w:t xml:space="preserve">Quelle: </w:t>
      </w:r>
      <w:r>
        <w:t>https://mcp.opencaselaw.ch/entscheid/vd_gerichte_PE17.007347</w:t>
      </w:r>
    </w:p>
    <w:p>
      <w:r>
        <w:t>FR: VD_GERICHTE PE17.007347 du 15 novembre 2017</w:t>
      </w:r>
    </w:p>
    <w:p>
      <w:r>
        <w:t>IT: VD_GERICHTE PE17.007347 del 15 novembre 2017</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En l'espèce, interjeté en temps utile et dans les formes prescrites (art. 385 al. 1 CPP) auprès de l’autorité compétente, par la partie plaignante qui a qualité pour recourir (art. 382 al. 1 CPP), le recours de T.________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w:t>
      </w:r>
    </w:p>
    <w:p>
      <w:r>
        <w:t>- 4 -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Conformément au principe de la maxime de l’instruction, les autorités pénales mettent en œuvre tous les moyens de preuve licites qui, selon l'état des connaissances scientifiques et l'expérience, sont propres à établir la vérité (art. 139 al. 1 CPP).</w:t>
      </w:r>
    </w:p>
    <w:p>
      <w:r>
        <w:rPr>
          <w:b/>
        </w:rPr>
        <w:t>E. 3.1</w:t>
      </w:r>
    </w:p>
    <w:p>
      <w:r>
        <w:t>La recourante invoque une violation du devoir d’instruction du Ministère public. Compte tenu du contexte qui lui avait été exposé, il incomberait à ce dernier de mener une instruction et, en particulier, de procéder à l’audition de l’intendante, de la responsable hiérarchique et de la responsable administrative du [...] nommément mentionnées dans sa plainte. La procureure n’aurait ainsi pas cherché à instruire les questions de l’existence d’un état de fait dangereux, des règles de prudence applicables et de leur violation, à savoir un sol resté mouillé sans être séché rapidement et l’absence de panneau « antiglisse ». La recourante</w:t>
      </w:r>
    </w:p>
    <w:p>
      <w:r>
        <w:t>- 5 - expose également que l’intendante avait une position de garante à son égard, celle-ci étant soumise à des règles de prudence édictées par des organismes spécialisés dans la prévention des accidents tels que la Caisse nationale suisse d’assurance en cas d’accident (ci-après : SUVA) ou le Bureau de prévention des accidents (ci-après : BPA). Rien ne permettait donc à ce stade d’exclure toute violation fautive de son devoir de prudence, un tel manquement entrant dans le champ d’application de l’art. 125 CP. Enfin, cette violation fautive pourrait également être le fait de l’employeur, celui-ci revêtant une position de garant en vertu des art. 328 CO, 6 LTr (Loi sur le travail du 13 mars 1964 ; RS 822.11) et 14 OLT 3 (Ordonnance 3 relative à la loi sur le travail du 18 août 1993 ; RS 822.113), cette dernière disposition faisant expressément référence aux règles de prudence à appliquer pour les sols.</w:t>
      </w:r>
    </w:p>
    <w:p>
      <w:r>
        <w:rPr>
          <w:b/>
        </w:rPr>
        <w:t>E. 3.2</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Il s’agit d’une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 ATF 133 IV 158 consid. 5.1 ; ATF 113 IV 68 consid. 5 ; CREP 1er mai 2015/298).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 ATF 135 IV 56 consid. 2.1, JdT 2010 IV 43 ; ATF 133 IV 158 consid. 5.1). Pour déterminer les devoirs imposés par la prudence, on peut se référer à des normes édictées par l'ordre juridique pour assurer</w:t>
      </w:r>
    </w:p>
    <w:p>
      <w:r>
        <w:t>- 6 -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 ATF 129 IV 119 consid. 2.1 ; TF 6B_934/2009 du 22 décembre 2009 consid. 1.1). S’il y a eu violation des règles de la prudence, encore faut-il que celle-ci puisse être imputée à faute, c’est-à-dire que l'on puisse reprocher à l'auteur, compte tenu de ses circonstances personnelles, d'avoir fait preuve d'un manque d'effort blâmable (ATF 122 IV 145 consid. 3b). Cette violation doit encore se trouver en rapport de causalité naturelle et adéquate avec le résultat de l'infraction, soit des lésions corporelles (ATF 135 IV 56 consid. 2.1, JdT 2010 IV 43).</w:t>
      </w:r>
    </w:p>
    <w:p>
      <w:r>
        <w:rPr>
          <w:b/>
        </w:rPr>
        <w:t>E. 3.3</w:t>
      </w:r>
    </w:p>
    <w:p>
      <w:r>
        <w:t>La SUVA et le BPA ont établi différentes recommandations sur les comportements préventifs à observer afin d’éviter des chutes sur le lieu de travail en raison d’un sol mouillé. La SUVA a par exemple édité une liste de contrôle pour les entreprises sur le thème : « Peut-on marcher en toute sécurité sur les sols de votre entreprise ? » (P. 7/1/4). Diverses questions sur le nettoyage des sols, les dispositifs de signalisations des dangers temporaires de faux-pas et de glissade et leur existence, le port de chaussures adéquates pour les employés ainsi que la formation d’un collaborateur sur les connaissances spécifiques au nettoyage sont notamment traitées. Le BPA a également édicté des directives et brochures. Selon la documentation technique 2.103 intitulée « Mesures constructives pour la prévention des chutes dans les établissements médico-sociaux » au chapitre « Exigences générales en matière de sécurité » et plus précisément s’agissant des mesures à prendre pour préserver les propriétés des revêtements, il est précisé que lorsque des sols ont été lavés à l’eau, ils doivent être séchés pour éviter tout risque de glisser. Il faut dans tous les cas poser des panneaux qui avertissent du risque de chute et les laisser en place jusqu’à ce que les sols soient complètement secs (cf. P. 7/1/8).</w:t>
      </w:r>
    </w:p>
    <w:p>
      <w:r>
        <w:t>- 7 -</w:t>
      </w:r>
    </w:p>
    <w:p>
      <w:r>
        <w:rPr>
          <w:b/>
        </w:rPr>
        <w:t>E. 3.4</w:t>
      </w:r>
    </w:p>
    <w:p>
      <w:r>
        <w:t>Aux termes de l’art. 328 al. 2 CO, l’employeur doit prendre, pour protéger la vie et la santé du travailleur, les mesures commandées par l’expérience, applicables en l’état de la technique, et adaptées aux conditions de l’exploitation ou du ménage, dans la mesure où les rapports de travail et la nature du travail permettent équitablement de l’exiger de lui. Selon l’art. 3 OPA (Ordonnance sur la prévention des accidents du 19 décembre 1983 ; RS 832.30), l’employeur est tenu de prendre, pour assurer la sécurité au travail, toutes les dispositions et mesures de protection qui répondent aux prescriptions de l’ordonnance,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(al. 2). De manière générale, l’employeur doit prendre toutes les mesures nécessaires pour protéger l’intégrité personnelle des travailleurs, cette obligation valant notamment pour les revêtements des sols, le risque de glissade étant particulièrement élevé sur les sols mouillés (art. 6 LTr et art. 14 OLT 3 ; Commentaire du SECO (Secrétariat d’Etat à l’économie) de l’OLT 3 ad art. 14, août 2006).</w:t>
      </w:r>
    </w:p>
    <w:p>
      <w:r>
        <w:rPr>
          <w:b/>
        </w:rPr>
        <w:t>E. 3.5</w:t>
      </w:r>
    </w:p>
    <w:p>
      <w:r>
        <w:t>En l’espèce, il paraît établi, du moins hautement vraisemblable, que la chute de la recourante intervenue le 24 janvier 2017 sur son lieu de travail lui ait occasionné des lésions corporelles au sens de l’art. 125 al. 2 CP (cf. P. 4/1, 4/2 et 4/3). En outre, contrairement à l’avis exprimé par le Ministère public, on peut admettre qu’E.________, en sa qualité d’intendante, avait bien une position de garante au sens de la jurisprudence, dès lors qu’elle était tenue de respecter les règles élémentaires de prudence dans le cadre de son activité et, en particulier, de signaler toute situation dangereuse pour les usagers des locaux. En l’état, rien ne permet d’exclure que cette employée ait commis une faute, l’absence d’un quelconque panneau avertissant du danger de glissade et l’heure inhabituelle du rinçage du sol du hall séparant les réfectoires, soit des éléments de fait allégués dans la plainte, étant susceptibles d’être établis en cours d’instruction.</w:t>
      </w:r>
    </w:p>
    <w:p>
      <w:r>
        <w:t>- 8 - Il pourrait en aller de même pour les deux responsables du centre d’accueil, celles-ci étant tenues, en vertu des dispositions légales et administratives relevant du droit du travail (art. 328 CO, art. 6 LTr, art. 3 OPA et art. 14 OLT 3), de prendre toutes les mesures nécessaires préventives en vue de préserver l’intégrité physique des collaborateurs de l’établissement. Cela paraît d’autant plus vrai que, selon la recourante, l’une d’entre elles aurait précisément chuté antérieurement dans des circonstances similaires. Si tel devait effectivement avoir été le cas, la responsabilité de cette dernière pourrait être d’autant plus engagée. Au vu de ce qui précède, l’infraction de lésions corporelles par négligence ne peut être exclue à ce stade de la procédure et c’est à tort que le Ministère public a rendu une ordonnance de non-entrée en matière sans avoir instruit plus avant et entendu les personnes mentionnées ci- dessus, voire d’autres personnes encore qui auraient été présentes lors des faits.</w:t>
      </w:r>
    </w:p>
    <w:p>
      <w:r>
        <w:rPr>
          <w:b/>
        </w:rPr>
        <w:t>E. 4</w:t>
      </w:r>
    </w:p>
    <w:p>
      <w:r>
        <w:t>En définitive, le recours doit être admis, l’ordonnance attaquée annulée et le dossier de la cause renvoyé au Ministère public de l’arrondissement de Lausanne pour qu’il procède dans le sens des considérants qui précèdent. Les frais de la procédure de recours, constitués en l'espèce du seul émolument d'arrêt, par 880 fr. (art. 422 al. 1 CPP et 20 al. 1 TFIP [Tarif des frais de procédure et indemnités en matière pénale du 28 septembre 2010 ; RSV 312.03.1]), seront laissés à la charge de l’Etat (art. 428 al. 1 CPP). La recourante, qui a procédé avec l’assistance d’un avocat de choix et qui a obtenu gain de cause, a droit à une indemnité pour les dépenses occasionnées par la procédure de recours (art. 436 al. 3 CPP). Au vu du mémoire produit, cette indemnité sera fixée à 1’200 fr., soit quatre heures d’activité au tarif horaire d’avocat de 300 fr. (art. 26a al. 3</w:t>
      </w:r>
    </w:p>
    <w:p>
      <w:r>
        <w:t>- 9 -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96 fr., soit à 1'296 fr. au total. Elle sera laissée à la charge de l’Etat. Par ces motifs, la Chambre des recours pénale prononce : I. Le recours est admis. II. L’ordonnance du 6 juillet 2017 est annulée. III. Le dossier de la cause est renvoyé au Ministère public de l’arrondissement de Lausanne pour qu’il procède dans le sens des considérants. IV. Une indemnité de 1’296 fr. (mille deux cent nonante-six francs) est allouée à T.________ pour la procédure de recours, à la charge de l’Etat. V. Les frais d’arrêt, par 880 fr. (huit cent huitante francs), sont laissés à la charge de l’Etat. VI. L’arrêt est exécutoire. Le président : La greffière : Du Le présent arrêt, dont la rédaction a été approuvée à huis clos, est notifié, par l'envoi d'une copie complète, à : - Me Rébecca Grand, avocate (pour T.________),</w:t>
      </w:r>
    </w:p>
    <w:p>
      <w:r>
        <w:t>- 10 -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