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PE17.007272 vom 30. März 2021</w:t>
      </w:r>
    </w:p>
    <w:p>
      <w:r>
        <w:t>VD Tribunal cantonal, 2021-03-30, FR</w:t>
      </w:r>
    </w:p>
    <w:p>
      <w:r>
        <w:rPr>
          <w:b/>
        </w:rPr>
        <w:t xml:space="preserve">Quelle: </w:t>
      </w:r>
      <w:r>
        <w:t>https://mcp.opencaselaw.ch/entscheid/vd_gerichte_PE17.007272</w:t>
      </w:r>
    </w:p>
    <w:p>
      <w:r>
        <w:t>FR: VD_GERICHTE PE17.007272 du 30 mars 2021</w:t>
      </w:r>
    </w:p>
    <w:p>
      <w:r>
        <w:t>IT: VD_GERICHTE PE17.007272 del 30 marzo 2021</w:t>
      </w:r>
    </w:p>
    <w:p>
      <w:pPr>
        <w:pStyle w:val="Heading2"/>
      </w:pPr>
      <w:r>
        <w:t>Erwägungen</w:t>
      </w:r>
    </w:p>
    <w:p>
      <w:r>
        <w:rPr>
          <w:b/>
        </w:rPr>
        <w:t>E. 16</w:t>
      </w:r>
    </w:p>
    <w:p>
      <w:r>
        <w:t>janvier 2020 consid. 2.1). En revanche, le Ministère public doit classer</w:t>
      </w:r>
    </w:p>
    <w:p>
      <w:r>
        <w:t>- 7 -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ce qui est notamment le cas lorsque l’action pénale est prescrite (Moreillon/Parein-Reymond, Petit Commentaire du Code de procédure pénale, 2e éd., Bâle 2016, nn. 16 s. ad art. 319 CPP). 3. 3.1 Selon l’art. 139 ch. 1 CP, qui punit le vol, celui qui, pour se procurer ou procurer à un tiers un enrichissement illégitime, aura soustrait une chose mobilière appartenant à autrui dans le but de se l’approprier sera puni d’une peine privative de liberté de cinq ans au plus ou d’une peine pécuniaire. Le chiffre 4 de cette disposition précise que l’infraction n’est poursuivie que sur plainte si elle est commise au préjudice des proches ou des familiers. 3.2 Aux termes de l'art. 146 al. 1 CP, celui qui, dans le dessein de se procurer ou de procurer à un tiers un enrichissement illégitime, aura</w:t>
      </w:r>
    </w:p>
    <w:p>
      <w:r>
        <w:t>- 8 -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alii, Petit commentaire du Code pénal, 2e éd., Bâle 2017, n. 1 ad art. 146 CP).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w:t>
      </w:r>
    </w:p>
    <w:p>
      <w:r>
        <w:rPr>
          <w:b/>
        </w:rPr>
        <w:t>E. 20</w:t>
      </w:r>
    </w:p>
    <w:p>
      <w:r>
        <w:t>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11e éd., 2018, pp. 237-238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références).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t>- 10 - 3.3. Selon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 L’auteur veut seulement nuire à autrui, sans chercher à s’enrichir ou à enrichir un tiers. Ainsi, hormis cet aspect, tous les autres éléments constitués de l’escroquerie (art. 146 CP) doivent être réalisés (Dupuis et al. [éd.], Petit commentaire, Code pénal, 2e éd., Bâle 2017, n. 1 ad art. 151 CP ; Garbarski/Borsodi in : CR CP, Bâle 2017, n. 3 ad art. 151 CP). L'escroquerie suppose, au plan objectif, une tromperie astucieuse, une erreur, un acte de disposition préjudiciable, un dommage, ainsi qu'un rapport de causalité entre ces différents éléments. Sur le plan subjectif, l'art. 146 al. 1 CP décrit une infraction intentionnelle. 3.4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op. cit., n. 13 ad art. 158 CP). Le devoir de gestion implique un pouvoir sur les biens d’autrui comportant une indépendance suffisante, un droit de disposition autonome, une certaine latitude qui caractérise le devoir de fidélité dont la</w:t>
      </w:r>
    </w:p>
    <w:p>
      <w:r>
        <w:t>- 11 - violation est punissable (ATF 142 IV 346 consid. 3.2; ATF 123 IV 17 consid. 3b). L’infraction de gestion déloyale n’est consommée que s’il y a eu un dommage patrimonial. Ce préjudice doit être en rapport de causalité avec la violation des devoirs (Corboz, op. cit., n. 10 ad art. 158 CP). Il n’est pas nécessaire que le dommage corresponde à l’enrichissement de l’auteur, ni qu’il soit chiffré ; il suffit qu’il soit certain (ATF 123 IV 17 consid. 3d). De plus, il n’y a dommage que dans la mesure où la personne lésée a un droit protégé par le droit civil à la compensation du dommage subi (Dupuis et al., op. cit., n. 25 ad art. 158 CP). 4. 4.1 En l’espèce, s'agissant de la vente des parcelles, R.________ soutient d'abord qu'il y a eu tromperie en ce sens que ce serait uniquement sur la base des informations fournies par la prévenue, informations fausses, que la plaignante aurait accepté de vendre la parcelle à un prix clairement en dessous de ce qui pouvait être obtenu au vu du prix de la parcelle voisine. Selon la plaignante, la prévenue aurait caché le fait qu'elle avait participé aux négociations, qu'elle avait demandé que le secret soit gardé et que, si la plaignante avait su, elle aurait demandé que la répartition du total se fasse selon les mètres carrés. R.________ considère ensuite qu’il y a astuce dans le fait que la prévenue l'aurait volontairement tenue dans l'ignorance d'une partie des éléments de discussion, d'autant plus que la propre fille de la prévenue avait fait une estimation à 1'190'000 fr., soit proche de celle du prix de vente, ce qui aurait conforté la recourante dans son erreur. Enfin, la plaignante invoque que la prévenue aurait non seulement favorisé un tiers, soit sa belle-mère, ce qui suffirait à établir le dessein d'enrichissement, mais également elle-même, du fait qu’il ressort également de l'enquête que la prévenue avait contracté une dette de 250'000 fr. auprès de sa belle-mère, dette qui aurait été remboursée par abandon gratuit de créance et par donation, ensuite de la vente des parcelles.</w:t>
      </w:r>
    </w:p>
    <w:p>
      <w:r>
        <w:t>- 12 - Cependant, les explications données par le promoteur [...], administrateur de la société acheteuse des deux parcelles, suffisent à mettre à néant le raisonnement de la recourante. En effet, il est évident que les voies d'accès et les possibilités de construction diffèrent selon les parcelles constructibles, ce qui explique justement les différences de prix entre des parcelles de même surface. Les éléments invoqués par le promoteur pour justifier la différence de prix payée sont, notoirement, des éléments qui font varier les prix de manière importante. Tel a bien été le cas avec les parcelles nos 3500 et 3501. Que la prévenue ait caché des éléments à sa demi-sœur ou qu'elle ait obtenu des avantages financiers en raison de son intervention en amont de la transaction, ne change rien au fait que le prix était correct, d'autant plus que la fille de la prévenue en avait fait une estimation proche, estimation qui n'a pas été contestée par les éléments du dossier. L’infraction d’escroquerie au sens de l’art. 146 CP ne parait ainsi pas réalisée. De plus, faute de lésions des intérêts financiers de la recourante, il en va de même de l’infraction de l’art. 151 CP et de celle de l’art. 158 CP. 4.2 Toutefois, il n’en va pas de même au sujet de l'accusation de vol des 10'000 fr. retrouvés au domicile du défunt. En effet, sur ce point, il y a lieu de se référer au témoignage de [...] (cf. PV aud. 3, lignes 34 ss), qui, après s'être fait prier, a déclaré avoir entendu la prévenue affirmer qu'elle avait trouvé ce montant dans des livres et non dans une enveloppe à son nom. Ces déclarations paraissent ainsi suffisantes pour retenir que des indices existent quant au vol de ce montant, même si un autre témoin, soit le compagnon suivant de la prévenue, [...], n’a pas pu être entendu sur ce qu'il avait également constaté. Le recours est ainsi fondé sur ce point. 5. La recourante plaide également une violation de son droit d'être entendue faute de décision et de motivation sur une partie de ses réquisitions de preuves formulées le 24 août 2020, en particulier en lien avec le refus de produire au dossier de la cause « tout dossier pénal »</w:t>
      </w:r>
    </w:p>
    <w:p>
      <w:r>
        <w:t>- 13 - ayant opposé [...] et L.________. La recourante expose longuement les conséquences qu'elle pourrait tirer de ces éléments et procède par conjectures. En réalité, on ne voit pas le lien entre une affaire qui ne concerne pas les relations entre les deux parties et la présente affaire pénale. La réquisition s’apparente ainsi à une fishing expedition. Partant, ce grief étant mal fondé, il ne sera pas donné suite à la requête de la recourante. 6. Il résulte de ce qui précède que le recours doit être partiellement admis et l’ordonnance attaquée annulée en tant qu'elle vaut classement de la procédure pénale dirigée contre [...] pour vol, subsidiairement appropriation illégitime, et en tant qu'elle règle les indemnités et frais de procédure (ch. II et III du dispositif). L’ordonnance doit être confirmée pour le surplus. Le dossier de la cause sera renvoyé au Ministère public de l’arrondissement de l'Est vaudois pour qu’il procède à un complément d’instruction, entende les témoins sollicités ainsi que L.________, et fasse éventuellement produire les pièces mentionnées dans la plainte. Vu le sort du recours, les frais de deuxième instance, constitués en l’espèce de l’émolument d’arrêt, par 1’320 fr. (art. 21 al. 1 TFIP [tarif des frais de procédure et indemnités en matière pénale du 28 septembre 2010 ; BLV 312.03.1]), doivent être mis par moitié à la charge de la recourante et par moitié à la charge de L.________, qui succombe en partie (art. 428 al. 1 CPP). Tant la recourante que l’intimée ayant obtenu partiellement gain de cause et procédé avec l’assistance d’un mandataire professionnel, les indemnités pour les dépenses occasionnées par l’exercice raisonnable de leurs droits pour la procédure de recours seront compensées.</w:t>
      </w:r>
    </w:p>
    <w:p>
      <w:r>
        <w:t>- 14 - Par ces motifs, la Chambre des recours pénale prononce : I. Le recours est partiellement admis. II. L’ordonnance du 16 novembre 2020 est annulée en tant qu'elle vaut classement de la procédure pénale dirigée contre L.________ pour vol, subsidiairement appropriation illégitime, et en tant qu'elle règle les indemnités et frais de procédure (chiffres II et III du dispositif). L’ordonnance est confirmée pour le surplus. III. Le dossier de la cause est renvoyé au Ministère public de l'arrondissement de l'Est vaudois pour qu’il procède dans le sens des considérants. IV. Les frais d’arrêt, par 1’320 fr. (mille trois cent vingt francs), sont mis par moitié, soit par 660 fr. (six cent soixante francs), à la charge de R.________, et par moitié, par 660 fr. (six cent soixante francs), à la charge de L.________. V. Les indemnités pour les dépenses occasionnées par la procédure de recours dues à R.________, d’une part, et à L.________, d’autre part, sont compensées. VI. L’arrêt est exécutoire. Le président : La greffière : Du Le présent arrêt, dont la rédaction a été approuvée à huis clos, est notifié, par l'envoi d'une copie complète, à : - Me Cyrille Piguet, avocat (pour R.________), - Me Xavier Diserens, avocat (pour L.________), - Ministère public central,</w:t>
      </w:r>
    </w:p>
    <w:p>
      <w:r>
        <w:t>- 15 -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