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PE17.007191 vom 8. November 2017</w:t>
      </w:r>
    </w:p>
    <w:p>
      <w:r>
        <w:t>VD Tribunal cantonal, 2017-11-08, FR</w:t>
      </w:r>
    </w:p>
    <w:p>
      <w:r>
        <w:rPr>
          <w:b/>
        </w:rPr>
        <w:t xml:space="preserve">Quelle: </w:t>
      </w:r>
      <w:r>
        <w:t>https://mcp.opencaselaw.ch/entscheid/vd_gerichte_PE17.007191</w:t>
      </w:r>
    </w:p>
    <w:p>
      <w:r>
        <w:t>FR: VD_GERICHTE PE17.007191 du 8 novembre 2017</w:t>
      </w:r>
    </w:p>
    <w:p>
      <w:r>
        <w:t>IT: VD_GERICHTE PE17.007191 del 8 novembre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Interjeté dans le délai légal par la partie plaignante qui a qualité pour recourir (art. 382 al. 1 CPP), et transmis d’office à l’autorité compétente par le Ministère public conformément à l’art. 91 al. 4 CPP, le recours est recevable.</w:t>
      </w:r>
    </w:p>
    <w:p>
      <w:r>
        <w:rPr>
          <w:b/>
        </w:rPr>
        <w:t>E. 2.1</w:t>
      </w:r>
    </w:p>
    <w:p>
      <w:r>
        <w:t>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w:t>
      </w:r>
    </w:p>
    <w:p>
      <w:r>
        <w:t>- 5 - imposent de renoncer à l’ouverture d’une poursuite pénale (let. c) (TF 1B_111/2012 du 5 avril 2012 consid. 2.1; TF 1B_67/2012 du 29 mai 2012 consid. 2.2).</w:t>
      </w:r>
    </w:p>
    <w:p>
      <w:r>
        <w:rPr>
          <w:b/>
        </w:rPr>
        <w:t>E. 2.2</w:t>
      </w:r>
    </w:p>
    <w:p>
      <w:r>
        <w:t>La recourante soutient dans sa plainte que les faits reprochés réaliseraient les éléments constitutifs de l'abus de confiance (art. 138 CP [Code pénal suisse; RS 311.0]), de l'escroquerie (art. 146 CP) et, subsidiairement, de la gestion déloyale (art. 158 CP), respectivement de la gestion fautive (art. 165 CP).</w:t>
      </w:r>
    </w:p>
    <w:p>
      <w:r>
        <w:rPr>
          <w:b/>
        </w:rPr>
        <w:t>E. 3.1.1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133 IV 21 consid. 6.2; ATF 129 IV 257 consid. 2.2.1; ATF 121 IV 23 consid. 1; ATF 119 IV 127 consid. 2).</w:t>
      </w:r>
    </w:p>
    <w:p>
      <w:r>
        <w:t>- 6 -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(TF 6B_507/2015 du 25 février 2016 consid. 1).</w:t>
      </w:r>
    </w:p>
    <w:p>
      <w:r>
        <w:rPr>
          <w:b/>
        </w:rPr>
        <w:t>E. 3.1.2</w:t>
      </w:r>
    </w:p>
    <w:p>
      <w:r>
        <w:t>En l’espèce, les capitaux prêtés par la plaignante à B.________ constituent assurément des valeurs patrimoniales confiées au sens légal. Pour autant, l’abus de confiance présupposerait que les organes de B.________, singulièrement W.________, aient détourné de leur affectation contractuelle tout ou partie des fonds faisant l’objet du contrat du 13 mars 2014. Le crédit consenti par la plaignante était expressément stipulé à usage professionnel; il devait être affecté à divers équipements et « autres frais de démarrage de la société ». Rien n’indique toutefois que des fonds aient été utilisés à d’autres fins, notamment privées. La recourante n’allègue du reste pas sérieusement le contraire. En effet, elle se limite à faire valoir que « [l]a destination du prêt effectué par (elle) reste à ce jour inconnue » (P. 4, ch. 44), tout en relevant par ailleurs qu’en avril 2015, soit un peu plus d’un an après le prêt, « l’entreprise était lancée » et que « le chiffre d’affaires commençait à augmenter » (P. 4, ch. 16 in initio), ce qui permet de penser que les fonds prêtés avaient alors profité à la société conformément au contrat.</w:t>
      </w:r>
    </w:p>
    <w:p>
      <w:r>
        <w:rPr>
          <w:b/>
        </w:rPr>
        <w:t>E. 3.2.1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w:t>
      </w:r>
    </w:p>
    <w:p>
      <w:r>
        <w:t>- 7 -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ATF 135 IV 76 consid. 5.2; ATF 133 IV 256 consid. 4.4.3; ATF 128 IV 18 consid. 3a; TF 6B_117/2015 du 11 février 2016 consid. 2.3.1.1 et les réf. citées).</w:t>
      </w:r>
    </w:p>
    <w:p>
      <w:r>
        <w:rPr>
          <w:b/>
        </w:rPr>
        <w:t>E. 3.2.2</w:t>
      </w:r>
    </w:p>
    <w:p>
      <w:r>
        <w:t>La recourante n’expose pas en quoi un organe de B.________, singulièrement W.________, aurait capté par astuce au sens légal le prêt consenti le 13 mars 2014, en d’autres termes qu’elle aurait agi sous l’emprise d’une tromperie délibérée. Le contrat de prêt était en effet explicite; sa lecture permet de se convaincre qu’il était le fait de personnes familiarisées avec les affaires, ce qui est étayé par la formation et l’expérience professionnelles de la plaignante. En particulier, on ne voit pas en quoi le prêt aurait été consenti sur la foi d’un édifice de mensonges ou même d’un faux renseignement isolé. A cet égard, un élément essentiel est constitué par le fait que la recourante était alors administratrice unique de la société depuis le 19 avril 2013. Elle était donc à même, depuis plusieurs mois déjà, d’avoir une vue d’ensemble de la situation financière de l’entreprise, ce qui lui permettait d’éventer tout mensonge éventuel quant à l’état des comptes sociaux. A toutes fins</w:t>
      </w:r>
    </w:p>
    <w:p>
      <w:r>
        <w:t>- 8 - utiles, la Cour relèvera que le prêt est postérieur à la fin de la relation sentimentale nouée par la plaignante avec W.________. La recourante fait certes état de pressions et de menaces qu’aurait exercées sur elle son ex- ami. Ces faits allégués sont toutefois postérieurs au prêt en question et ne sont du reste pas étayés. Même si ces actes l’étaient à satisfaction, ils ne sauraient donc avoir été perpétrés dans le dessein de capter le prêt litigieux. S’agissant au surplus des actes juridiques avec lesquels ils sont mis en relation, à savoir la postposition de la créance en remboursement du prêt et le cautionnement accordé par un tiers le 20 avril 2016, on ne voit pas davantage en quoi ils pourraient relever de l’astuce au sens de l’art. 146 CP.</w:t>
      </w:r>
    </w:p>
    <w:p>
      <w:r>
        <w:rPr>
          <w:b/>
        </w:rPr>
        <w:t>E. 3.2.3</w:t>
      </w:r>
    </w:p>
    <w:p>
      <w:r>
        <w:t>Cela étant, la plainte ne porte pas expressément sur l’infraction de menaces, réprimée par l’art. 180 CP et, en principe, poursuivie sur plainte seulement (selon la règle de l’art. 180 al. 1 CP, les exceptions visées par l’art. 180 al. 2 CP n’étant pas en cause ici). Quoi qu’il en soit, les pressions alléguées ont pris fin à l’époque du cautionnement, dont il est constant qu’il remonte au 20 avril 2016 (P. 4/18). La plaignante n’allègue aucun contact ultérieur avec W.________. Partant, le délai légal de plainte de trois mois dès le jour où l'ayant droit a connu l'auteur de l'infraction (art. 31 CP) est échu pour ce qui est de l’infraction de menaces. Quant à la contrainte, réprimée par l’art. 181 CP, outre que la plainte ne porte pas non plus expressément sur cette infraction, il doit être relevé que les actes imputés par la plaignante à W.________, peu caractérisés, ne réalisent pas la menace d’un dommage sérieux ou une entrave qui serait constitutive de contrainte au sens légal (cf. Dupuis/Moreillon/Piguet/Berger/Mazou/Rodigari [éd.], Petit commentaire CP, 2e éd., Bâle 2017, nn. 12 ss et 17 s. ad art. 181 CP).</w:t>
      </w:r>
    </w:p>
    <w:p>
      <w:r>
        <w:t>- 9 -</w:t>
      </w:r>
    </w:p>
    <w:p>
      <w:r>
        <w:rPr>
          <w:b/>
        </w:rPr>
        <w:t>E. 3.3.1</w:t>
      </w:r>
    </w:p>
    <w:p>
      <w:r>
        <w:t>D’après l’art. 158 al. 1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w:t>
      </w:r>
    </w:p>
    <w:p>
      <w:r>
        <w:rPr>
          <w:b/>
        </w:rPr>
        <w:t>E. 3.3.2</w:t>
      </w:r>
    </w:p>
    <w:p>
      <w:r>
        <w:t>Dans le cas particulier, la question préalable sous l’angle de la gestion déloyale est celle de savoir si un organe (de fait ou de droit) de la société, singulièrement W.________, aurait, en violation de ses devoirs, porté atteinte à des intérêts de la société sur lesquels il était tenu de veiller. Or, comme le relève le Procureur, la recourante, comme personne physique, n’est pas titulaire des intérêts de B.________, pas plus qu’elle n’est lésée directement par les actes dénoncés qu’elle tient pour perpétrés au préjudice de l’entreprise (cf. ATF 141 IV 104, JdT 2015 IV 247 consid. 3.1; ATF 140 IV 155 consid. 3.3.1; TF 1B_372/2016 du 17 janvier 2017 consid. 3.1; TF 6B_1315/2015 du 9 août 2016 consid. 1.2.1; TF 1B_ 191/2014 du 14 août 2014 consid. 3.1; CREP 14 août 2017/553). La qualité pour recourir doit dès lors lui être déniée quant à cet aspect de la procédure. Quoi qu’il en soit, aucun élément au dossier n’indique qu’il aurait été porté atteinte aux intérêts pécuniaires de la société au sens de l’art. 158 al. 1 CP.</w:t>
      </w:r>
    </w:p>
    <w:p>
      <w:r>
        <w:rPr>
          <w:b/>
        </w:rPr>
        <w:t>E. 3.4.1</w:t>
      </w:r>
    </w:p>
    <w:p>
      <w:r>
        <w:t>A teneur de l’art. 165 ch. 1 CP,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- 10 -</w:t>
      </w:r>
    </w:p>
    <w:p>
      <w:r>
        <w:rPr>
          <w:b/>
        </w:rPr>
        <w:t>E. 3.4.2</w:t>
      </w:r>
    </w:p>
    <w:p>
      <w:r>
        <w:t>Dans le cas particulier, l’ordonnance entreprise est antérieure à la faillite de la société, prononcée le 17 août 2017 et à la suite de laquelle il n’apparait pas qu’un acte de défaut de biens ait été délivré. Un élément constitutif objectif de l’infraction de gestion fautive n’est donc pas réalisé (cf. Corboz, Les infractions en droit suisse, vol. I, 3e éd., Berne 2010, nn. 43-46 ad art. 165 CP). Par surabondance, on ne discerne pas, en l’état, en quoi la gestion de la société du fait de quiconque, singulièrement de W.________, aurait été désinvolte jusqu’à mener à la faillite.</w:t>
      </w:r>
    </w:p>
    <w:p>
      <w:r>
        <w:rPr>
          <w:b/>
        </w:rPr>
        <w:t>E. 4</w:t>
      </w:r>
    </w:p>
    <w:p>
      <w:r>
        <w:t>La requête tendant à la désignation d’un conseil juridique gratuit doit également être rejetée. En effet, le recours apparait d’emblée aussi dénué de chances de succès que la plainte dont il procède (cf. CREP 17 août 2015/548 consid. 2.4). Il apparaît ainsi bien plutôt que le litige est de nature civile. La recourante est invitée à faire valoir, le cas échéant, ses prétentions pécuniaires à l’encontre de la masse en faillite de B.________, respectivement de W.________ personnellement.</w:t>
      </w:r>
    </w:p>
    <w:p>
      <w:r>
        <w:rPr>
          <w:b/>
        </w:rPr>
        <w:t>E. 5</w:t>
      </w:r>
    </w:p>
    <w:p>
      <w:r>
        <w:t>Il résulte de ce qui précède que le recours, manifestement mal fondé, doit être rejeté sans autre échange d’écritures (art. 390 al. 2 CPP) et l'ordonnance entreprise confirmée. Les frais de la procédure de recours, constitués du seul émolument d’arrêt, par 1’100 fr. (art. 20 al. 1 TFIP [tarif des frais de procédure et indemnités en matière pénale du 28 septembre 2010, RSV 312.03.1]), seront mis à la charge de la recourante, qui succombe (art. 428 al. 1 CPP).</w:t>
      </w:r>
    </w:p>
    <w:p>
      <w:r>
        <w:t>- 11 - Par ces motifs, la Chambre des recours pénale prononce : I. Le recours est rejeté. II. L'ordonnance du 10 août 2017 est confirmée. III. La requête d’assistance judiciaire est rejetée.</w:t>
      </w:r>
    </w:p>
    <w:p>
      <w:r>
        <w:t>- 12 - IV. Les frais d'arrêt, par 1’100 fr. (mille cent francs), sont mis à la charge de la recourante. V. L’arrêt est exécutoire. Le président : Le greffier : Du Le présent arrêt, dont la rédaction a été approuvée à huis clos, est notifié, par l'envoi d'une copie complète, à : - Mme V.________,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