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PE17.006801 vom 6. Juli 2017</w:t>
      </w:r>
    </w:p>
    <w:p>
      <w:r>
        <w:t>VD Tribunal cantonal, 2017-07-06, FR</w:t>
      </w:r>
    </w:p>
    <w:p>
      <w:r>
        <w:rPr>
          <w:b/>
        </w:rPr>
        <w:t xml:space="preserve">Quelle: </w:t>
      </w:r>
      <w:r>
        <w:t>https://mcp.opencaselaw.ch/entscheid/vd_gerichte_PE17.006801</w:t>
      </w:r>
    </w:p>
    <w:p>
      <w:r>
        <w:t>FR: VD_GERICHTE PE17.006801 du 6 juillet 2017</w:t>
      </w:r>
    </w:p>
    <w:p>
      <w:r>
        <w:t>IT: VD_GERICHTE PE17.006801 del 6 luglio 2017</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w:t>
      </w:r>
    </w:p>
    <w:p>
      <w:r>
        <w:t>- 3 - d’introduction du Code de procédure pénale suisse du 19 mai 2009] ; art. 80 LOJV [Loi d’organisation judiciaire du 12 décembre 1979 ; RSV 173.01]). Interjeté dans le délai légal auprès de l’autorité compétente par le prévenu qui a la qualité pour recourir dans la mesure où il conteste que les frais aient été mis à sa charge (cf. art. 382 al. 1 CPP), le recours de G.________ est recevable.</w:t>
      </w:r>
    </w:p>
    <w:p>
      <w:r>
        <w:rPr>
          <w:b/>
        </w:rPr>
        <w:t>E. 1.2</w:t>
      </w:r>
    </w:p>
    <w:p>
      <w:r>
        <w:t>Dès lors que le recours porte uniquement sur les conséquences économiques accessoires d'une décision et que le montant litigieux ne dépasse pas 5'000 fr., il relève de la compétence du Juge unique de la Chambre des recours pénale du Tribunal cantonal (art. 395 let. b CPP et 13 al. 2 LVCPP ; Juge unique CREP 2 mars 2017/151).</w:t>
      </w:r>
    </w:p>
    <w:p>
      <w:r>
        <w:rPr>
          <w:b/>
        </w:rPr>
        <w:t>E. 2.1</w:t>
      </w:r>
    </w:p>
    <w:p>
      <w:r>
        <w:t>Le recourant demande à être exonéré des frais de procédure.</w:t>
      </w:r>
    </w:p>
    <w:p>
      <w:r>
        <w:rPr>
          <w:b/>
        </w:rPr>
        <w:t>E. 2.2</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 RS 101) et 6 ch. 2 CEDH (Convention de sauvegarde des droits de l’homme et des libertés fondamentales du 4 novembre 1950 ; RS 0.101) de mettre les frais à la charge d’un prévenu libéré qui, d’une manière engageant sa responsabilité civile, a manifestement violé une règle de comportement pouvant découler de l’ordre juridique suisse dans son ensemble – dans le</w:t>
      </w:r>
    </w:p>
    <w:p>
      <w:r>
        <w:t>- 4 - sens d’une application par analogie des principes découlant de l’art. 41 CO (Loi fédérale complétant le Code civil suisse du 30 mars 1911 ; RS 220) (TF 6B_439/2013 du 19 juillet 2013 consid. 1.1 ; Chappuis, in : Kuhn/Jeanneret [éd.], Commentaire romand, Code de procédure pénale suisse, Bâle 2011, n. 2 ad art. 426 CPP) – et a provoqué ainsi l’ouverture d’une enquête pénale ou compliqué celle-ci (TF 6B_87/2012 du 27 avril 2012 consid. 1.2). Seul un comportement fautif et contraire à une règle juridique, qui soit en relation de causalité avec les frais imputés, peut être déterminant (ATF 119 Ia 332 consid. 1b ; TF 6B_439/2013 précité consid. 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consid. 5.1.2 et les références citées). En outre, le juge doit fonder sa décision sur des faits incontestés ou déjà clairement établis (ATF 112 Ia 371 consid. 2a ; TF 6B_87/2012 précité consid. 1.2). Sur la base de ces principes généraux, la jurisprudence admet que la condamnation d'un prévenu acquitté à supporter tout ou partie des frais peut se fonder sur une violation de l'art. 28 al. 1 CC (Code civil suisse du 10 décembre 1907 ; RS 210), qui prohibe toute atteinte illicite à la personnalité (TF 1B_21/2012 du 27 mars 2012 consid. 2.4).</w:t>
      </w:r>
    </w:p>
    <w:p>
      <w:r>
        <w:rPr>
          <w:b/>
        </w:rPr>
        <w:t>E. 2.3</w:t>
      </w:r>
    </w:p>
    <w:p>
      <w:r>
        <w:t>En l’espèce, les faits pertinents sont clairement établis. En effet, si le recourant soutient qu’il n’a pas claqué la porte de son appartement derrière lui et qu’il n’a pas voulu alarmé V.________ et la famille de celui-ci, il a reconnu avoir dit, devant ces derniers, que le directeur de [...] avait sodomisé l’épouse du plaignant. Or, il est manifeste que proférer de tel propos à l’attention d’une famille, qui plus est accompagnée d’un enfant de sept ans, constitue une atteinte à la personnalité au sens de l’art. 28 CC. Par ailleurs, V.________ ayant dénoncé ces faits le lendemain des événements, il est indéniable que le comportement illicite et fautif de G.________ a provoqué l’ouverture de la procédure pénale.</w:t>
      </w:r>
    </w:p>
    <w:p>
      <w:r>
        <w:t>- 5 - Ainsi, la décision du Ministère public de mettre une partie des frais de procédure, par 600 fr., à la charge de G.________ ne prête pas le flanc à la critique, le montant des frais étant pour le surplus conforme aux art. 2 al. 1 et 14 al. 1 TFPContr (Tarif des frais de procédure pour le Ministère public et les autorités administratives compétentes en matière de contraventions du 15 décembre 2010 ; RSV 312.03.3).</w:t>
      </w:r>
    </w:p>
    <w:p>
      <w:r>
        <w:rPr>
          <w:b/>
        </w:rPr>
        <w:t>E. 3</w:t>
      </w:r>
    </w:p>
    <w:p>
      <w:r>
        <w:t>Il résulte de ce qui précède que le recours, manifestement mal fondé, doit être rejeté sans échange d’écritures (art. 390 al. 2 CPP) et l’ordonnance attaquée confirmée. Les frais de la procédure de recours, constitués du seul émolument d’arrêt, par 450 fr. (art. 20 al. 1 TFIP [Tarif des frais de procédure et indemnités en matière pénale du 28 septembre 2010 ; RSV 312.03.1]), seront mis à la charge du recourant, qui succombe (art. 428 al. 1 CPP). Par ces motifs, le juge unique prononce : I. Le recours est rejeté. II. L’ordonnance du 10 mai 2017 est confirmée. III. Les frais d’arrêt, par 450 fr. (quatre cent cinquante francs), sont mis à la charge de G.________. IV. L’arrêt est exécutoire. Le juge unique : Le greffier :</w:t>
      </w:r>
    </w:p>
    <w:p>
      <w:r>
        <w:t>- 6 - Du Le présent arrêt, dont la rédaction a été approuvée à huis clos, est notifié, par l'envoi d'une copie complète, à : - M. G.________, - M. V.________,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