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PE17.006644 vom 18. August 2022</w:t>
      </w:r>
    </w:p>
    <w:p>
      <w:r>
        <w:t>VD Tribunal cantonal, 2022-08-18, FR</w:t>
      </w:r>
    </w:p>
    <w:p>
      <w:r>
        <w:rPr>
          <w:b/>
        </w:rPr>
        <w:t xml:space="preserve">Quelle: </w:t>
      </w:r>
      <w:r>
        <w:t>https://mcp.opencaselaw.ch/entscheid/vd_gerichte_PE17.006644</w:t>
      </w:r>
    </w:p>
    <w:p>
      <w:r>
        <w:t>FR: VD_GERICHTE PE17.006644 du 18 août 2022</w:t>
      </w:r>
    </w:p>
    <w:p>
      <w:r>
        <w:t>IT: VD_GERICHTE PE17.006644 del 18 agosto 2022</w:t>
      </w:r>
    </w:p>
    <w:p>
      <w:pPr>
        <w:pStyle w:val="Heading2"/>
      </w:pPr>
      <w:r>
        <w:t>Erwägungen</w:t>
      </w:r>
    </w:p>
    <w:p>
      <w:r>
        <w:rPr>
          <w:b/>
        </w:rPr>
        <w:t>E. 12</w:t>
      </w:r>
    </w:p>
    <w:p>
      <w:r>
        <w:t>minutes par courrier (5h30 = 330 minutes / 25 lettres = 12 minutes), ce qui paraît excessif. Il est au surplus de jurisprudence constante que les courriers n’ayant pas une teneur juridique relèvent du travail de secrétariat et non de celui de l’avocat d’office. De plus, des renseignements à des tiers sur l’avancée de la procédure sortent du strict cadre nécessaire à la défense du prévenu, de sorte qu’ils ne sauraient être indemnisés. On relèvera encore que le total de 3 heures retenu par le premier juge pour trois conférences avec le prévenu est plutôt généreux</w:t>
      </w:r>
    </w:p>
    <w:p>
      <w:r>
        <w:t>- 16 - et doit conduire à pondérer les autres contacts – téléphonique ou épistolaire – entre le mandataire et son client. Il s’ensuit que la durée nécessaire des téléphones doit être ramenée à 1 heure et 30 minutes et celle des correspondances à 2 heures. Au vu de ce qui précède, la durée de 12 heures (3h00 de conférences client ; 1h30 de préparation d’audience ; 2h00 d’audience ; 2h00 de recherches juridiques ; 1h30 de téléphones ; et 2h00 de courriers/courriels) retenue par le premier juge est adéquate et l’indemnité de 2'053 fr. 90 allouée pour la liste des opérations du 7 avril 2021 au 14 décembre 2021 doit ainsi être confirmée. 4. En définitive, le recours de X.________ et celui de N.________ doivent être rejetés, et le prononcé attaqué confirmé. L’indemnité de défenseur d’office pour la procédure de recours de X.________ allouée à Me N.________ doit être fixée à 362 fr. 50, montant arrondi à 396 fr., correspondant à 2 heures d’activité d’avocat au tarif horaire de 180 fr., par 360 fr., plus des débours forfaitaires à concurrence de 2 %, par 7 fr. 20 (art. 2 al. 1 let. a et 3bis al. 1 RAJ, applicable par renvoi de l’art. 26b TFIP), et la TVA sur le tout au taux de 7,7 %, par 28 fr. 30, à la charge de X.________. Vu l’issue de la cause, les frais communs de la procédure de recours, constitués en l’espèce du seul émolument d’arrêt, par 1'650 fr. (art. 20 al. 1 TFIP), seront mis par moitié, soit 825 fr., à la charge de X.________ et par moitié, soit 825 fr., à la charge de N.________, dès lors que chacun des recourants succombe (art. 428 al. 1 CPP). Le remboursement à l’Etat de l’indemnité allouée au défenseur d’office de X.________ ne sera exigible que pour autant que la situation économique de ce dernier le permette (art. 135 al. 4 CPP).</w:t>
      </w:r>
    </w:p>
    <w:p>
      <w:r>
        <w:t>- 17 - Par ces motifs, la Chambre des recours pénale prononce : I. Le recours de X.________ est rejeté. II. Le recours de N.________ est rejeté. III. Le prononcé du 31 janvier 2022 est confirmé. IV. L’indemnité allouée au défenseur d’office de X.________ pour la procédure de recours, fixée à 396 fr. (trois cent nonante- six francs), est mise à la charge du recourant X.________. V. Les frais d’arrêt, par 1'650 fr. (mille six cent cinquante francs), sont mis par moitié, soit par 825 fr. (huit cent vingt-cinq francs), à la charge de X.________ et par moitié, soit par 825 fr. (huit cent vingt-cinq francs), à la charge de N.________. VI. Le remboursement à l’Etat de l’indemnité allouée au chiffre IV ci-dessus ne sera exigible que pour autant que la situation financière de X.________ le permette. VII. L’arrêt est exécutoire. La présidente : La greffière : Du Le présent arrêt, dont la rédaction a été approuvée à huis clos, est notifié, par l'envoi d'une copie complète, à : - Me N.________, avocat (pour lui-même et pour X.________), - Ministère public central, et communiqué à : - M. le Président du Tribunal de police de l’arrondissement de La Côte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