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PE17.006138 vom 10. Oktober 2018</w:t>
      </w:r>
    </w:p>
    <w:p>
      <w:r>
        <w:t>VD Tribunal cantonal, 2018-10-10, FR</w:t>
      </w:r>
    </w:p>
    <w:p>
      <w:r>
        <w:rPr>
          <w:b/>
        </w:rPr>
        <w:t xml:space="preserve">Quelle: </w:t>
      </w:r>
      <w:r>
        <w:t>https://mcp.opencaselaw.ch/entscheid/vd_gerichte_PE17.006138</w:t>
      </w:r>
    </w:p>
    <w:p>
      <w:r>
        <w:t>FR: VD_GERICHTE PE17.006138 du 10 octobre 2018</w:t>
      </w:r>
    </w:p>
    <w:p>
      <w:r>
        <w:t>IT: VD_GERICHTE PE17.006138 del 10 ottobre 2018</w:t>
      </w:r>
    </w:p>
    <w:p>
      <w:pPr>
        <w:pStyle w:val="Heading2"/>
      </w:pPr>
      <w:r>
        <w:t>Erwägungen</w:t>
      </w:r>
    </w:p>
    <w:p>
      <w:r>
        <w:rPr>
          <w:b/>
        </w:rPr>
        <w:t>E. 1</w:t>
      </w:r>
    </w:p>
    <w:p>
      <w:r>
        <w:t>Interjeté dans le délai légal (art. 310 al. 2 et 322 al. 2 CPP [Code de procédure pénale suisse du 5 octobre 2007; RS 312.0]) contre une décision du Ministère public (art. 393 al. 1 let. a CPP) devant l’autorité de recours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est déposé en temps utile. Il satisfait en outre aux autres conditions légales (art. 385 al. 1 CPP), de sorte qu’il est recevable en la forme.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w:t>
      </w:r>
    </w:p>
    <w:p>
      <w:r>
        <w:t>- 6 -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reproche au Ministère public d’avoir écarté à tort les infractions de diffamation et de calomnie.</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Pour</w:t>
      </w:r>
    </w:p>
    <w:p>
      <w:r>
        <w:t>- 7 -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 Petit commentaire CP, 2e éd., Bâle 2017, n. 52 ad art. 173 CP; Favre/Pellet/Stoudmann, Code pénal annoté, 3e éd., Lausanne 2007/2011, n. 1.11 ad art. 14 CP).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II.3.3; CREP 12 février 2015/115 consid. 3.2.2).</w:t>
      </w:r>
    </w:p>
    <w:p>
      <w:r>
        <w:rPr>
          <w:b/>
        </w:rPr>
        <w:t>E. 3.3</w:t>
      </w:r>
    </w:p>
    <w:p>
      <w:r>
        <w:t>Dans le cas particulier, le Ministère public a retenu que les propos de K.________ n'avaient pas pour conséquence de présenter le plaignant comme méprisable en sa qualité d’être humain. La Cour de céans partage cette appréciation. Au vu du litige au sujet d’informations publiées sur internet par l'Etat de Z.________ et reprises par le plaignant pour son application « [...] », l’expression « pomper des informations », bien que discutable, faisait surtout apparaître une divergence de vue entre les parties, l'Etat de Z.________ considérant les informations en cause comme bénéficiant d’une protection légale, et le plaignant comme librement disponibles. Dans ce contexte, les propos de l'interviewé ne sauraient être considérés comme attentatoires à l’honneur. Ainsi, c’est à bon droit que le Procureur a rendu une ordonnance de non-entrée en matière sur ce point.</w:t>
      </w:r>
    </w:p>
    <w:p>
      <w:r>
        <w:rPr>
          <w:b/>
        </w:rPr>
        <w:t>E. 4.1</w:t>
      </w:r>
    </w:p>
    <w:p>
      <w:r>
        <w:t>Le recourant reproche encore au Ministère public d’avoir écarté à tort l'infraction de l'art. 23 LCD.</w:t>
      </w:r>
    </w:p>
    <w:p>
      <w:r>
        <w:t>- 8 -</w:t>
      </w:r>
    </w:p>
    <w:p>
      <w:r>
        <w:rPr>
          <w:b/>
        </w:rPr>
        <w:t>E. 4.2</w:t>
      </w:r>
    </w:p>
    <w:p>
      <w:r>
        <w:t>L'art. 23 LCD dispose que quiconque, intentionnellement, se rend coupable de concurrence déloyale au sens des art. 3, 4, 4a, 5 ou 6 LCD est, sur plainte, puni d'une peine privative de liberté de trois ans au plus ou d'une peine pécuniaire (al. 1). Peut porter plainte celui qui a qualité pour intenter une action civile selon les art. 9 et 10 (al. 2). Les clients peuvent intenter l’une des actions prévues par l’art. 9 LCD lorsque leurs intérêts économiques sont menacés ou lésés par un acte de concurrence déloyale (art. 10 al. 1 LCD). La notion de concurrence vise une compétition, une rivalité sur le plan économique entre des personnes qui offrent leurs prestations sur un marché licite (Favre/Pellet/Stoudmann, Droit pénal accessoire, Code annoté, 2018, n. 1.1 ad art. 1 LCD, p. 316). Selon l'art. 3 al. 1 let. b LCD, agit de façon déloyale celui qui donne des indications inexactes ou fallacieuses notamment sur ses prestations, ses prix, ou ses affaires ou qui, par de telles allégations, avantage des tiers par rapport à leurs concurrents. Les affirmations objectivement inexactes ne sont pas les seules que réprime la loi contre la concurrence déloyale. Il peut s’agir certes d’indications clairement erronées, mais il peut s’agir aussi d’indications qui sont fallacieuses parce que le public les met en rapport avec des activités ou des mérites qui n’en sont point. Pour tomber sous le coup de l’art. 3 let. b LCD, encore faut-il que les indications en cause soient propres à influencer la décision du client. Pour déterminer si une publicité est inexacte ou fallacieuse, est décisif le sens que le lecteur non averti attribue de bonne foi à la publicité; pour ce faire, le juge se fondera sur l’expérience générale de la vie et les circonstances particulières du cas (ATF 132 III 414 consid. 4.1.2; Dessemontet, La propriété intellectuelle et les contrats de licence, p. 538 et les réf. citées). En raison de leur imprécision, les dispositions pénales de la LCD doivent être interprétées restrictivement (cf TF 6B_156/2012 du 11 octobre 2012 consid. 1.2).</w:t>
      </w:r>
    </w:p>
    <w:p>
      <w:r>
        <w:rPr>
          <w:b/>
        </w:rPr>
        <w:t>E. 4.3</w:t>
      </w:r>
    </w:p>
    <w:p>
      <w:r>
        <w:t>En l'occurrence, le Ministère public a retenu que tant la publication par l'Etat de Z.________ sur son site internet des informations</w:t>
      </w:r>
    </w:p>
    <w:p>
      <w:r>
        <w:t>- 9 - relatives aux mises à l’enquête publique, que leur diffusion par un système d’annonce comme [...], échappaient, dans les circonstances du cas particulier, aux règles de la LCD, dès lors que l’activité étatique mise en évidence par le plaignant découlait des obligations régaliennes de l'Etat, prévues par la loi, et ne paraissait pas présenter un caractère de rivalité sur le plan économique. La Cour de céans partage également cette appréciation. En outre, à supposer les règles de la LCD applicables, le Ministère public a retenu que l’infraction de l’art. 23 LCD ne pouvait être tenue pour réalisée, les déclarations de K.________ n'étant pas susceptibles, même théoriquement, d'influencer le jeu de la concurrence ou le fonctionnement du marché en faveur de l'Etat de Z.________ et au détriment de l’application « [...] ». L'argumentation du magistrat à cet égard est convaincante. Le seul fait d’évoquer l’existence d’un litige de nature juridique entre deux fournisseurs de prestations ne permet pas d’en déduire que cette information sera favorable à l’un d’entre eux, à tel point de fausser la concurrence. La commission d'une quelconque infraction pénale paraissant ainsi, sur le fond, exclue, c’est à bon droit que le Procureur a estimé qu’il n’y avait pas lieu d’ouvrir une instruction. Dans ces circonstances, le Ministère public a considéré qu'il n'était pas nécessaire d’examiner les différents dysfonctionnements décrits par le plaignant en lien avec le système [...], tout comme les différences d’avec les prestations qu’il fournit par son application « [...] ». La Cour de céans partage également cette appréciation. Par conséquent, le grief adressé par le plaignant au Procureur de s'être abstenu de rechercher si d'autres personnes physiques que K.________ pouvaient, cas échéant, être considérées responsables ou non des faits qu'il reproche à l'Etat de Z.________ en lien avec le système [...] et la [...], et les possibilités d'alerte y relatives, tombe également à faux.</w:t>
      </w:r>
    </w:p>
    <w:p>
      <w:r>
        <w:rPr>
          <w:b/>
        </w:rPr>
        <w:t>E. 5</w:t>
      </w:r>
    </w:p>
    <w:p>
      <w:r>
        <w:t>En définitive, le recours, manifestement mal fondé, doit être rejeté, et l'ordonnance attaquée confirmée.</w:t>
      </w:r>
    </w:p>
    <w:p>
      <w:r>
        <w:t>- 10 - Les frais de la procédure de recours, constitués en l'espèce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17 avril 2018 est confirmée. III. Les frais de la procédure de recours, par 990 fr. (neuf cent nonante francs), sont mis à la charge de B.________. IV. L’arrêt est exécutoire. Le président : Le greffier : Du Le présent arrêt, dont la rédaction a été approuvée à huis clos, est notifié, par l'envoi d'une copie complète, à : - M. B.________, - Ministère public central, et communiqué à : - M. le Procureur du Ministère public central, division affaires spéciales, - K.________, [...] de l'Etat de Z.________ . par l’envoi de photocopies.</w:t>
      </w:r>
    </w:p>
    <w:p>
      <w:r>
        <w:t>- 11 -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