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PE17.004235 vom 1. Juli 2019</w:t>
      </w:r>
    </w:p>
    <w:p>
      <w:r>
        <w:t>VD Tribunal cantonal, 2019-07-01, FR</w:t>
      </w:r>
    </w:p>
    <w:p>
      <w:r>
        <w:rPr>
          <w:b/>
        </w:rPr>
        <w:t xml:space="preserve">Quelle: </w:t>
      </w:r>
      <w:r>
        <w:t>https://mcp.opencaselaw.ch/entscheid/vd_gerichte_PE17.004235</w:t>
      </w:r>
    </w:p>
    <w:p>
      <w:r>
        <w:t>FR: VD_GERICHTE PE17.004235 du 1 juillet 2019</w:t>
      </w:r>
    </w:p>
    <w:p>
      <w:r>
        <w:t>IT: VD_GERICHTE PE17.004235 del 1 luglio 2019</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l’espèce, interjeté en temps utile, devant l’autorité compétente, par le prévenu qui a qualité pour recourir (cf. art. 382 al. 1 CPP), et satisfaisant aux conditions de forme prescrites (cf. art. 385 al. 1 CPP), le recours est recevable.</w:t>
      </w:r>
    </w:p>
    <w:p>
      <w:r>
        <w:rPr>
          <w:b/>
        </w:rPr>
        <w:t>E. 2.1</w:t>
      </w:r>
    </w:p>
    <w:p>
      <w:r>
        <w:t>Le recourant soutient qu’une autorité souhaitant consulter un dossier pénal doit justifier d’un intérêt. Cette autorité devrait donc en principe disposer d’éléments concrets susceptibles de fonder le soupçon d’une situation contraire au droit pour pouvoir justifier d’un tel intérêt. En</w:t>
      </w:r>
    </w:p>
    <w:p>
      <w:r>
        <w:t>- 5 - accordant un libre accès au dossier pénal, le Ministère public irait bien au- delà de ce que l’Office AI aurait pu obtenir dans le cadre de l’assistance administrative que se doivent les institutions d’assurances sociales en vertu de l’art. 32 LPGA. En outre, cet office n’aurait donné aucun élément particulier qui fonderait sa demande et celle-ci s’apparenterait donc à une « pêche aux renseignements ». Le maintien du secret serait ainsi prépondérant tant et aussi longtemps que l’office n’aurait pas motivé suffisamment sa demande. Par ailleurs, le dossier pénal serait constitué de huit classeurs fédéraux qui ne contiendraient quasiment aucun élément médical – l’aspect médical ne serait évoqué que très succinctement sur à peine deux pages dans le rapport d’investigation –, de sorte que la consultation requise aurait uniquement pour effet de jeter l’opprobre sur le prévenu, raison pour laquelle il invoque le respect du principe de la présomption d’innocence. Enfin, le dossier du médecin généraliste du recourant aurait été séquestré en cours d’enquête et ferait actuellement l’objet d’une expertise portant notamment sur le bien-fondé des appréciations médicales ayant justifié des arrêts de travail, de sorte que rien n’empêcherait l’Office AI de requérir ultérieurement la consultation du dossier après le dépôt de ce rapport d’expertise.</w:t>
      </w:r>
    </w:p>
    <w:p>
      <w:r>
        <w:rPr>
          <w:b/>
        </w:rPr>
        <w:t>E. 2.2.1</w:t>
      </w:r>
    </w:p>
    <w:p>
      <w:r>
        <w:t>Selon l’art. 101 al. 2 CPP, d'autres autorités (que le ministère public, réd.) peuvent consulter le dossier lorsqu'elles en ont besoin pour traiter une procédure civile, pénale ou administrative pendante et si aucun intérêt public ou privé prépondérant ne s'y oppose. L’art. 102 al. 1 CPP prévoit que la direction de la procédure statue sur la consultation des dossiers ; elle prend les mesures nécessaires pour prévenir les abus et les retards et pour protéger les intérêts légitimes au maintien du secret. Selon l’art. 102 al. 2 CPP, les dossiers sont consultés au siège de l'autorité pénale concernée ou, par voie d'entraide judiciaire, au siège d'une autre autorité pénale ; en règle générale, ils sont remis à d'autres autorités ainsi qu'aux conseils juridiques des parties. D’après l’art. 102 al. 3 CPP, toute personne autorisée à consulter le dossier peut en demander une copie contre versement d'un émolument.</w:t>
      </w:r>
    </w:p>
    <w:p>
      <w:r>
        <w:t>- 6 - La consultation du dossier par d’autres autorités (au sens de l’art. 101 al. 2 CPP) présuppose une pesée des intérêts en présence (Message relatif à l'unification du droit de la procédure pénale du 21 décembre 2005, FF 2006 pp. 1057 ss, spéc. 1140 ; TF 1B_530/2012 du 12 novembre 2012, SJ 2013 I 77). Il convient donc de procéder à une pesée entre, d’une part, l’intérêt privé du recourant à la protection de sa personnalité et au maintien du secret de l’instruction et, d’autre part, l’intérêt public à la conduite de la procédure menée par l’autorité requérante (cf. CREP 23 décembre 2015/863).</w:t>
      </w:r>
    </w:p>
    <w:p>
      <w:r>
        <w:rPr>
          <w:b/>
        </w:rPr>
        <w:t>E. 2.2.2</w:t>
      </w:r>
    </w:p>
    <w:p>
      <w:r>
        <w:t>En vertu de l’art. 32 al. 1 LPGA, les autorités administratives et judiciaires de la Confédération, des cantons, des districts, des circonscriptions et des communes fournissent gratuitement aux organes des assurances sociales, dans des cas particuliers et sur demande écrite et motivée, les données qui leur sont nécessaires pour fixer ou modifier des prestations, ou encore en réclamer la restitution (let. a) ; prévenir des versements indus (let. b) ; fixer et percevoir les cotisations (let. c) ; faire valoir une prétention récursoire contre le tiers responsable (let. d).</w:t>
      </w:r>
    </w:p>
    <w:p>
      <w:r>
        <w:rPr>
          <w:b/>
        </w:rPr>
        <w:t>E. 2.2.3</w:t>
      </w:r>
    </w:p>
    <w:p>
      <w:r>
        <w:t>La garantie de la présomption d’innocence est ancrée à l’art. 32 al. 1 Cst. (Constitution fédérale de la Confédération suisse du 18 avril 1999 ; RS 101), qui dispose que toute personne est présumée innocente jusqu’à ce qu’elle fasse l’objet d’une condamnation entrée en force, ainsi qu’à l’art. 6 § 2 CEDH (Convention de sauvegarde des droits de l’homme et des libertés fondamentales du 4 novembre 1950 ; RS 0.101), qui prévoit que toute personne accusée d’une infraction est présumée innocente jusqu’à ce que sa culpabilité ait été légalement établie. La présomption d’innocence figure parmi les éléments du procès pénal équitable exigé par l’art. 6 § 1 CEDH. Elle est rappelée à l’art. 10 al. 1 CPP qui indique que toute personne est présumée innocente tant qu’elle n’est pas condamnée par un jugement entrée en force.</w:t>
      </w:r>
    </w:p>
    <w:p>
      <w:r>
        <w:rPr>
          <w:b/>
        </w:rPr>
        <w:t>E. 2.3</w:t>
      </w:r>
    </w:p>
    <w:p>
      <w:r>
        <w:t>En l'espèce, il n’est pas contesté qu’une procédure est en cours auprès de l’Office AI. La première condition posée par l’art. 101 al. 2 CPP est donc réalisée. Il convient ensuite de procéder à une</w:t>
      </w:r>
    </w:p>
    <w:p>
      <w:r>
        <w:t>- 7 - pesée des intérêts en présence, soit l’intérêt privé du recourant à la protection de sa personnalité et au maintien du secret de l’instruction et l’intérêt public à la conduite de la procédure menée par cette autorité administrative. Manifestement, la balance penche en faveur de cet intérêt public. En effet, comme l’a invoqué le requérant dans son courrier du 15 avril 2019, il a connaissance que la présente cause pénale porte notamment sur des agissements de son assuré qui pourraient constituer une escroquerie ou une fraude à l’assurance. Dans un tel contexte, l’office a clairement un intérêt à obtenir des informations sur ces éléments, lui qui est précisément amené à se prononcer sur une demande de prestations. Cela entre clairement dans les investigations auxquelles il doit procéder d’office pour prévenir tout abus. La consultation contestée remplit donc également la seconde condition de l’art. 101 al. 2 CPP et se révèle conforme à la situation visée par l’art. 32 al. 1 LPGA. Quant au principe de la présomption d’innocence, il ne trouve pas application dans ce cas de figure, compte tenu du devoir de réserve incombant à l’autorité en question. Partant, l’Office AI doit être autorisé à consulter le dossier de la présente cause pénale.</w:t>
      </w:r>
    </w:p>
    <w:p>
      <w:r>
        <w:rPr>
          <w:b/>
        </w:rPr>
        <w:t>E. 3</w:t>
      </w:r>
    </w:p>
    <w:p>
      <w:r>
        <w:t>Il résulte de ce qui précède que le recours doit être rejeté et l’ordonnance attaquée confirmée. Les frais de la procédure de recours, constitués en l’espèce de l’émolument d'arrêt, par 880 fr. (art. 20 al. 1 TFIP [Tarif des frais judiciaires de procédure et indemnités en matière pénale du 28 septembre 2010 ; BLV 312.03.1]), et des frais imputables à la défense d’office (art. 422 al. 1 et 2 let. a CPP), fixés à 360 fr., auxquels il convient d’ajouter des débours forfaitaires à concurrence de 2 % (art. 3bis al. 1 RAJ [Règlement du 7 décembre 2010 sur l'assistance judiciaire en matière civile ; BLV 211.02.3], applicable par renvoi de l’art. 26b TFIP), par 7 fr. 20, plus la TVA par 28 fr. 25, soit à 395 fr. 45 au total, seront mis à la charge du recourant, qui succombe (art. 428 al. 1 CPP).</w:t>
      </w:r>
    </w:p>
    <w:p>
      <w:r>
        <w:t>- 8 -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9 mai 2019 est confirmée. III. L’indemnité allouée au défenseur d’office de J.________ est fixée à 395 fr. 45 (trois cent nonante-cinq francs et quarante- cinq centimes). IV. Les frais d’arrêt, par 880 fr. (huit cent huitante francs), ainsi que l’indemnité due au défenseur d’office de J.________, par 395 fr. 45 (trois cent nonante-cinq francs et quarante-cinq centimes), sont mis à la charge de ce dernier. V. Le remboursement à l’Etat de l’indemnité allouée au chiffre III ci-dessus ne sera exigible que pour autant que la situation financière de J.________ le permette. VI. L’arrêt est exécutoire. Le président : Le greffier : Du Le présent arrêt, dont la rédaction a été approuvée à huis clos, est notifié, par l'envoi d'une copie complète, à : - Me Regina Andrade Ortuno (pour J.________),</w:t>
      </w:r>
    </w:p>
    <w:p>
      <w:r>
        <w:t>- 9 -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