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PE17.004099 vom 30. März 2017</w:t>
      </w:r>
    </w:p>
    <w:p>
      <w:r>
        <w:t>VD Tribunal cantonal, 2017-03-30, FR</w:t>
      </w:r>
    </w:p>
    <w:p>
      <w:r>
        <w:rPr>
          <w:b/>
        </w:rPr>
        <w:t xml:space="preserve">Quelle: </w:t>
      </w:r>
      <w:r>
        <w:t>https://mcp.opencaselaw.ch/entscheid/vd_gerichte_PE17.004099</w:t>
      </w:r>
    </w:p>
    <w:p>
      <w:r>
        <w:t>FR: VD_GERICHTE PE17.004099 du 30 mars 2017</w:t>
      </w:r>
    </w:p>
    <w:p>
      <w:r>
        <w:t>IT: VD_GERICHTE PE17.004099 del 30 marzo 2017</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T.________ a requis la nomination d’un procureur extraordinaire ad hoc. Cette requête doit être interprétée comme une demande de récusation du Procureur général Eric Cottier, dès lors que celui-ci a été saisi de la plainte du 25 janvier 2017 et qu’T.________ a formulé des motifs de récusation à son encontre le 2 mars suivant. La Chambre des recours pénale du Tribunal cantonal est compétente pour statuer sur la demande de récusation présentée par T.________ à l’encontre du Procureur général Eric Cottier (art. 13 LVCPP [Loi vaudoise du 19 mai 2009 d’introduction du code de procédure pénale suisse; RSV 312.01]).</w:t>
      </w:r>
    </w:p>
    <w:p>
      <w:r>
        <w:rPr>
          <w:b/>
        </w:rPr>
        <w:t>E. 2</w:t>
      </w:r>
    </w:p>
    <w:p>
      <w:r>
        <w:t>Le requérant soutient qu’Eric Cottier ne saurait instruire la plainte qu’il a déposée contre I.________, au vu des relations professionnelles et d’un lien d’étroite amitié qu’ils entretiendraient.</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w:t>
      </w:r>
    </w:p>
    <w:p>
      <w:r>
        <w:t>- 4 - 2016 consid. 2.1; TF 1B_202/2013 du 23 juillet 2013 consid. 2.1.2; TF 6B_621/2011 du 19 décembre 2011 consid. 2.2). Cette disposition se réfère à tout comportement de nature à faire naître un doute sur l'impartialité et tend à éviter que des circonstances qui sont extérieures à la cause n'influencent le jugement en faveur ou en défaveur d'une partie (ATF 138 IV 142 consid. 2.1 ; ATF 126 I 68 consid. 3a, SJ 2000, p. 514; Moreillon/Parrein-Reymond, Petit commentaire, Code de procédure pénale, 2e éd., Bâle 2016, n. 24 ad art. 56 CPP). Tel peut être le cas des rapports de dépendance. Selon la jurisprudence, on ne saurait admettre une récusation que s'il y a objectivement lieu de craindre que le magistrat ne perde ainsi sa liberté de jugement (TF 1B_131/2011 du 2 mai 2011 consid. 3.1). On considère en revanche que des simples rapports professionnels ou collégiaux, en l'absence d'indices de partialité, sont insuffisants pour justifier une récusation (TF 1B_131/2011 précité; ATF 133 I 1 consid. 6.4, JdT 2008 I 339 ; ATF 105 Ib 301 consid. 1d; Moreillon/Parrein-Reymond, op. cit., n. 28 ad art. 56 CPP).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r>
        <w:rPr>
          <w:b/>
        </w:rPr>
        <w:t>E. 2.2</w:t>
      </w:r>
    </w:p>
    <w:p>
      <w:r>
        <w:t>En l’espèce, le requérant ne rend pas vraisemblable (cf. art. 58 al. 1 CPP) qu'au-delà des rapports professionnels qu'entretient le Procureur général Cottier avec son ancien subordonné [...], [...] – rapports professionnels qui, en l'absence totale d'indices de partialité, ne sauraient fonder une récusation –, ces deux magistrats seraient liés par un rapport d'amitié étroit au sens de l'art. 56 al. 1 let. f CPP.</w:t>
      </w:r>
    </w:p>
    <w:p>
      <w:r>
        <w:t>- 5 -</w:t>
      </w:r>
    </w:p>
    <w:p>
      <w:r>
        <w:rPr>
          <w:b/>
        </w:rPr>
        <w:t>E. 3</w:t>
      </w:r>
    </w:p>
    <w:p>
      <w:r>
        <w:t>Au vu de ce qui précède, la demande de récusation déposée par T.________ doit être rejetée. Les frais de la présente procédure, constitués en l’espèce du seul émolument de décision (art. 422 al. 1 CPP), par 550 fr. (art. 20 al. 1 TFIP [Tarif des frais de procédure et indemnités en matière pénale du 28 septembre 2010; RSV 312.03.1]), seront mis à la charge du requérant, conformément à l'art. 59 al. 4 CPP. Par ces motifs, la Chambre des recours pénale prononce : I. La demande de récusation déposée le 2 mars 2017 par T.________ est rejetée. II. Les frais de la décision, par 550 fr. (cinq cent cinquante francs), sont mis à la charge d'T.________. III. La décision est exécutoire. Le président : Le greffier : Du La présente décision, dont la rédaction a été approuvée à huis clos, est notifiée, par l'envoi d'une copie complète, à : - T.________, - M. le Procureur général du canton de Vaud par l’envoi de photocopies.</w:t>
      </w:r>
    </w:p>
    <w:p>
      <w:r>
        <w:t>- 6 -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