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PE17.003119 vom 26. August 2021</w:t>
      </w:r>
    </w:p>
    <w:p>
      <w:r>
        <w:t>VD Tribunal cantonal, 2021-08-26, FR</w:t>
      </w:r>
    </w:p>
    <w:p>
      <w:r>
        <w:rPr>
          <w:b/>
        </w:rPr>
        <w:t xml:space="preserve">Quelle: </w:t>
      </w:r>
      <w:r>
        <w:t>https://mcp.opencaselaw.ch/entscheid/vd_gerichte_PE17.003119</w:t>
      </w:r>
    </w:p>
    <w:p>
      <w:r>
        <w:t>FR: VD_GERICHTE PE17.003119 du 26 août 2021</w:t>
      </w:r>
    </w:p>
    <w:p>
      <w:r>
        <w:t>IT: VD_GERICHTE PE17.003119 del 26 agosto 2021</w:t>
      </w:r>
    </w:p>
    <w:p>
      <w:pPr>
        <w:pStyle w:val="Heading2"/>
      </w:pPr>
      <w:r>
        <w:t>Erwägungen</w:t>
      </w:r>
    </w:p>
    <w:p>
      <w:r>
        <w:rPr>
          <w:b/>
        </w:rPr>
        <w:t>E. 1</w:t>
      </w:r>
    </w:p>
    <w:p>
      <w:r>
        <w:t>Entre le 1er janvier et le 7 juillet 2015 à [...], rue du [...], durant la période où elle était en négociations avec la société M.________ SA en vue du rachat par cette dernière de l’entreprise familiale N.________, dès lors qu’il était convenu entre Z.________ et elle que le prix de vente serait convenu sur la base de ceux-ci, X._______ a remis à Z.________ des comptes intermédiaires arrêtés au 30 avril 2015 dans lesquels elle aurait, [prétendument] volontairement et dans un dessein d’enrichissement illégitime, omis de faire figurer des écritures comptables pertinentes respectivement fait figurer des écritures comptables [prétendument] injustifiées par l’activité commerciale, soit : - Différence caisse/créanciers CHF 1'669.- - Différence due au passif transitoire CHF 5'906.25 - Facture privées CHF 2'505.60 - Facture fournisseurs non enregistrées CHF 1'186.- - Salaire H.________ │mai 2015 CHF 5'000.- - Salaire X._______ │mai 2015 CHF 2'000.- - Salaire femme de ménage privée │mai 2015 CHF 300.- X._______ a[urait] ainsi astucieusement caché un montant de CHF 18'566.85, dans l’optique de fausser les comptes intermédiaires et, par voie de conséquence, les résultats sur lesquels le prix d’achat de N.________ devait être déterminé, tablant sur la confiance de l’acheteur et l’excessive difficulté pour celui-ci de découvrir ces différences sur la seule base de la documentation reçue.</w:t>
      </w:r>
    </w:p>
    <w:p>
      <w:r>
        <w:rPr>
          <w:b/>
        </w:rPr>
        <w:t>E. 1.1</w:t>
      </w:r>
    </w:p>
    <w:p>
      <w:r>
        <w:t>Interjeté par écrit dans le délai légal auprès de l’autorité compétente, le recours a été déposé en temps utile et dans les formes.</w:t>
      </w:r>
    </w:p>
    <w:p>
      <w:r>
        <w:rPr>
          <w:b/>
        </w:rPr>
        <w:t>E. 1.2</w:t>
      </w:r>
    </w:p>
    <w:p>
      <w:r>
        <w:t>A teneur de l’art. 382 CPP, toute partie qui a un intérêt juridiquement protégé à l’annulation ou à la modification d’une décision a qualité pour recourir contre celle-ci. L’art. 104 al. 1 let. b CPP précise que la qualité d’une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129 IV 95 consid. 3.1 et les arrêts cités). Lorsque la norme protège un bien juridique individuel, la qualité de lésé appartient au titulaire de ce bien (ATF 141 IV 1 consid. 3.1 ; ATF 138 IV 258 consid. 2.1 ; ATF 129 IV 95 consid. 3.1 ; 126 IV 42 consid. 2a ; ATF 117 Ia consid. 2a ; Perrier Depeursinge in Commentaire romand, Code de procédure pénale suisse 2e éd. 2019, nn. 6 et 8 ad art. 115 CPP). Lorsque l’infraction protège en première ligne l’intérêt collectif, les particuliers ne sont considérés</w:t>
      </w:r>
    </w:p>
    <w:p>
      <w:r>
        <w:t>- 15 - comme lésés que s’ils sont atteints dans leurs doits par l’infraction décrite et que cette atteinte est la conséquence directe du comportement répréhensible (ATF 141 IV 454 consid. 2.3.1 ; ATF 140 IV 155 consid. 3.2 ; ATF 138 IV 258 consid. 2.3 ; ATF 129 IV 95 consid. 3.1 et les références citées ; Perrier Depeursinge, op. cit., n. 11 ad art. 115 CPP). Un dommage n’est pas nécessaire pour être lésé au sens de l’art. 115 CPP. L’atteinte directe selon cette disposition se rapporte à la violation du droit pénal et non à un dommage (ATF 139 IV 78 consid. 3.3.3 ; TF 6B_900/2018 du 27 septembre 2019 consid. 2.1).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 ATF 140 IV 155 consid. 3.3.1 p. 158 ; TF 6B_103/2021 du 26 avril 2021 consid. 1.1 ; TF 1B_507/2020 du 8 février 2021 consid. 3.1 ; TF 6B_608/2020 du 4 décembre 2020 consid. 3.1).</w:t>
      </w:r>
    </w:p>
    <w:p>
      <w:r>
        <w:rPr>
          <w:b/>
        </w:rPr>
        <w:t>E. 1.3</w:t>
      </w:r>
    </w:p>
    <w:p>
      <w:r>
        <w:t>En l’espèce, les deux recourantes, qui ont toutes deux Z.________ en qualité de représentant avec signature individuelle, ont pris les mêmes conclusions au pied de leur recours, sans distinguer les infractions en cause et, en particulier, si elles avaient la qualité de lésées. S’agissant de l’infraction d’escroquerie (cf. infra consid. 3), seule M.________ SA – qui aurait acquis les actions de N.________ à un prix surfait – pourrait avoir la qualité de lésée ; en tant qu’il concerne cette infraction, le recours de N.________ est irrecevable. S’agissant des infractions d’abus de confiance et de gestion déloyale (cf. infra consid. 4), seule N.________ – dont le patrimoine aurait été atteint – pourrait avoir la qualité de lésée ; en tant qu’il concerne ces infractions, le recours de M.________ SA est irrecevable.</w:t>
      </w:r>
    </w:p>
    <w:p>
      <w:r>
        <w:t>- 16 - S’agissant des infractions de faux dans les titres et de fausses déclarations en justice, qui peuvent toutes deux dans certains cas porter atteinte à des intérêts individuels (cf. pour l’art. 251 CP : infra consid. 5.3.1 et pour l’art. 306 CP : infra consid 5.3.2), seule M.________ SA pourrait – comme partie au procès civil – être lésée ; en tant qu’il concerne ces infractions, le recours de N.________ est irrecevable.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classer la procédure s’il apparaît, sur la base de faits assez clairs pour qu’il n’y ait pas lieu de s’attendre à une appréciation différente de l’autorité de</w:t>
      </w:r>
    </w:p>
    <w:p>
      <w:r>
        <w:t>- 17 -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3.</w:t>
      </w:r>
    </w:p>
    <w:p>
      <w:r>
        <w:rPr>
          <w:b/>
        </w:rPr>
        <w:t>E. 2</w:t>
      </w:r>
    </w:p>
    <w:p>
      <w:r>
        <w:t>Entre le 1er janvier et le 30 novembre 2015 à [...], rue du [...], durant la période où elle était en négociations avec la société M.________ SA en vue du rachat par cette dernière de l'entreprise familiale N.________ puis lorsqu’elle assurait la transition à sa tête après sa remise, X._______ a[urait], [prétendument] volontairement et dans un dessein d’enrichissement illégitime, pris plusieurs dispositions financières à son profit et au profit de son fils, soit : - en versant, entre le 1er janvier et le 30 octobre 2015, des salaires [prétendument] fictifs à son fils H.________ d’un montant total de CHF 42'553.90 ; - en augmentant, entre le 1er janvier et le 30 mai 2015, son salaire de CHF 2'000.- par mois, le faisant passer de CHF 7'000.- à 9'000.- ; - en s’octroyant, ainsi qu’à son fils H.________, en mars 2015, des compléments de salaire de CHF 18'000.- respectivement 15'000.- pour l’année 2014 ; - en rachetant [prétendument] à vil prix, en mars 2015, le véhicule de marque BMW X1 appartenant à la société, lui occasionnant une [prétendue] perte de CHF 8'000.- ; - en ne provisionnant pas suffisamment les cotisations sociales pour l’année 2015, ce qui a entraîné un rattrapage de CHF 10'161.90 dû au 31 décembre 2015 ; - en opérant, les 13 mars, 29 avril et 22 décembre 2015, 4 versements [prétendument] injustifiés en sa faveur d’un montant total de CHF 60'307.80. X._______ a[urait] ainsi [prétendument] astucieusement détourné une part significative du bénéfice annuel de N.________ d’un montant total de CHF 164'023.60,</w:t>
      </w:r>
    </w:p>
    <w:p>
      <w:r>
        <w:t>- 8 - tablant sur la confiance de l’acheteur et l’excessive difficulté pour celui-ci de le découvrir du fait de son absence.</w:t>
      </w:r>
    </w:p>
    <w:p>
      <w:r>
        <w:rPr>
          <w:b/>
        </w:rPr>
        <w:t>E. 3</w:t>
      </w:r>
    </w:p>
    <w:p>
      <w:r>
        <w:t>Le 16 novembre 2016 à Lausanne, auprès du Tribunal de prud’hommes, dans le cadre de son procès civil contre M.________ SA pour le paiement d’un bonus pour l’année 2015, X._______ aurait produit une feuille A4 comportant diverses indications manuscrites en prétendant que Z.________ en était l’auteur, ce qui était faux. A raison de ces faits, M.________ SA et N.________ ont porté plainte et se sont constituées parties civiles sans chiffrer leurs prétentions le 15 février 2017. Motivation Faits sous ch. 1 (…) Les parties plaignantes reprochaient à X._______ de leur avoir soumis, dans le cadre des négociations précédant la vente de l’entreprise, des comptes intermédiaires au 30 avril 2015 qui n’avaient pas fait l’objet d’un audit, contrairement à ce que le contrat de vente prévoyait explicitement et que le prix d’achat des parts sociales devait être convenu sur cette base (P. 5/1, p. 2 et 3, ch. 5). Auditionnée le 22 juin 2017, X._______ a reconnu que les comptes intermédiaires au 30 avril 2015 n’avaient effectivement pas été audités (PV 1, p. 3, l. 74 ss) mais qu’elle avait néanmoins remis à la société acheteuse les comptes et bilans de plusieurs exercices précédents, qui eux avaient été dûment audités, ce qui lui avait permis de se faire une idée complète de la valeur de l’entreprise, de ses charges et de son potentiel (P. 5/4). En l’occurrence, le fait que les comptes intermédiaires au 30 avril 2015 n’aient pas été audités, quand bien même le contrat de vente le stipulait, n’est pas constitutif d’escroquerie au sens de l’art. 146 CP, faute de tromperie astucieuse de la part de la prévenue qui n’a pas menti ou mystifié à ce sujet, ce d’autant plus que ce manquement était facilement décelable par la société acheteuse puisqu’un rapport d’audit aurait alors dû être déposé ou, à tout le moins, un décompte acheteur-vendeur établi conjointement, ce qui n’a pourtant pas été fait à l’époque (P. 20/3). S’agissant des éléments comptables litigieux pointés par les plaignantes, il parait utile de renvoyer, pour obtenir les précisions nécessaires, au décompte acheteur- vendeur finalement établi le 21 décembre 2015 par U.________ de T._______ SA, mandaté par Z.________ pour vérifier l’exactitude des états financiers que X._______ lui avait fournis</w:t>
      </w:r>
    </w:p>
    <w:p>
      <w:r>
        <w:rPr>
          <w:b/>
        </w:rPr>
        <w:t>E. 3.1</w:t>
      </w:r>
    </w:p>
    <w:p>
      <w:r>
        <w:t>Z.________, agissant tant pour le compte de la société N.________ que pour la société M.________ SA, fait tout d’abord valoir un certain nombre d’erreurs dans les comptes intermédiaires de N.________ arrêtés au 30 avril 2015. Il s’agit en particulier de : Différence caisse/créancier CHF 1'669.00 Différence due au passif transitoire CHF 5'906.25 Factures privées CHF 2'505.60 Factures fournisseurs non enregistrées CHF 1'186.00 Salaire D. [...] / mai 2015 CHF 5'000.00 Salaire L. [...] / mai 2015 CHF 2'000.00 Salaire femme de ménage privée / mai 2015 CHF 300.00 Total CHF 18'566.85. Il considère ainsi que X._______ aurait fictivement présenté de meilleurs comptes intermédiaires et ainsi artificiellement augmenté la valeur, et donc le prix de vente, de sa société. Il y aurait ainsi escroquerie de sa part, au détriment de M.________ SA.</w:t>
      </w:r>
    </w:p>
    <w:p>
      <w:r>
        <w:rPr>
          <w:b/>
        </w:rPr>
        <w:t>E. 3.2</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w:t>
      </w:r>
    </w:p>
    <w:p>
      <w:r>
        <w:t>- 18 -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ATF 142 IV 153 consid. 2.2.2 ; ATF 135 IV 76 consid. 5.2 ).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w:t>
      </w:r>
    </w:p>
    <w:p>
      <w:r>
        <w:rPr>
          <w:b/>
        </w:rPr>
        <w:t>E. 3.3.1</w:t>
      </w:r>
    </w:p>
    <w:p>
      <w:r>
        <w:t>Dans son ordonnance, le Ministère public a en particulier considéré que les éléments constitutifs de l’escroquerie, particulièrement la tromperie et l’astuce, n’étaient pas réalisés. S’agissant de la tromperie, il a rappelé que la simple prise en compte ou, au contraire, la simple omission de certaines obligations financières dans la comptabilité, à plus forte raison lorsque les pièces justificatives étaient existantes et disponibles, ne saurait être considérée comme un édifice de mensonges, une mise en scène ou des manœuvres particulièrement sophistiquées qu’il aurait été laborieux de percer à jour. Quant à l’astuce, la procureure a</w:t>
      </w:r>
    </w:p>
    <w:p>
      <w:r>
        <w:t>- 19 - relevé que les circonstances du cas d’espèce conduisaient à retenir que Z.________, qui était un chef d’entreprise rompu aux affaires, n’était ni inexpérimenté ni faible d’esprit, et qu’il ne se trouvait pas dans un état d’infériorité ou un rapport déséquilibré excusant qu’il n’ait pas eu les moyens de se méfier. En outre, il aurait eu la possibilité de procéder à des vérifications simples, ce qu’il n’avait pas fait.</w:t>
      </w:r>
    </w:p>
    <w:p>
      <w:r>
        <w:rPr>
          <w:b/>
        </w:rPr>
        <w:t>E. 3.3.2</w:t>
      </w:r>
    </w:p>
    <w:p>
      <w:r>
        <w:t>En l’occurrence, on observera tout d’abord qu’il paraît normal que les salaires payés en mai 2015 ne figurent pas dans les comptes intermédiaires au 30 avril 2015. Il reste donc des erreurs dans les inscriptions comptables de quelque 11'000 francs. En ce qui concerne ces derniers montants, les plaignantes elles-mêmes admettent que ces irrégularités pourraient constituer de simples erreurs de saisie (P. 4 p. 4). Ensuite, force est de constater que les comptes n’ont pas été maquillés, les montants ayant simplement été mal comptabilisés. Pour ces raisons et pour les motifs invoqués par le Ministère public, reproduits plus haut et résumés au considérant qui précède, il faut admettre que la condition de l’astuce n’est pas réalisée. En outre et surtout, cette différence de 11'000 fr. dans les comptes intermédiaires portant sur quatre mois ne saurait avoir eu une influence sur le prix de vente de l’entreprise, eu égard aux comptes des années précédentes et aux autres critères pris en considération. Le dessein d’enrichissement illégitime parait ainsi également faire défaut. Au vu de ce qui précède, c’est à juste titre que la procureure a prononcé un classement s’agissant de l’infraction d’escroquerie. 4. 4.1 Les plaignantes reprochent également à X._______ d’avoir versé à son fils H.________, pour le compte de la société N.________, des salaires de 5'000 fr. du mois de janvier au mois de juillet 2015, puis de 5'841 fr. 90 au mois d’août 2015, de 1'362 fr. au mois de septembre 2015 et enfin de 350 fr, au mois d’octobre 2015. Pour les plaignantes, il s’agirait de salaires en grande partie fictifs. Il est en outre reproché à X._______</w:t>
      </w:r>
    </w:p>
    <w:p>
      <w:r>
        <w:t>- 20 - d’avoir augmenté son propre salaire de 7'000 fr. à 9'000 fr. pour les mois de janvier à mai 2014, étant précisé que le montant de son salaire avait été de 7'000 fr. pour les années 2012, 2013 et 2014. Enfin, Z.________ aurait découvert en février 2017 que X._______ aurait, en mars 2015, décidé de verser des compléments de salaire pour 2014, de 15'000 fr. pour son fils et de 18'000 fr. pour elle-même. Or, il semblerait que H.________ n’ait pas travaillé pour N.________ en 2014. En outre, ces montants ne se retrouveraient pas sur les comptes salaires des intéressés et il n’aurait pas été possible de savoir où ils avaient été payés. Des infractions pénales auraient ainsi été commises au détriment de N.________. 4.2 4.2.1 Aux termes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w:t>
      </w:r>
    </w:p>
    <w:p>
      <w:r>
        <w:t>- 21 - volonté de ne pas respecter les droits de celui qui lui fait confiance (ATF 133 IV 21 consid. 6.2; ATF 129 IV 257 consid. 2.2.1; ATF 121 IV 23 consid. 1; ATF 119 IV 127 consid. 2). 4.2.2 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et la peine maximale encourue portée à cinq ans de privation de liberté,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 sur le plan subjectif, il faut qu’il ait agi intentionnellement. Le dol éventuel suffit, à la condition qu’il soit strictement caractérisé (Corboz, Les infractions en droit suisse, vol. I, 3e éd., Berne 2010, n. 13 ad art. 158 CP). Le patrimoine d’une société anonyme demeure distinct de celui de son actionnaire (cf. ATF 117 IV 259 c. 3 ; TF 6B_680/2013 du 6 novembre 2013 c. 3). 4.3 4.3.1 Le Ministère public a considéré qu’il fallait tout d’abord opérer une distinction entre les engagements financiers décidés avant et après la vente de N.________ le 7 juillet 2015. En effet, jusqu’à cette date, X._______ était à la tête de sa propre entreprise, et ne gérait pas des intérêts pécuniaires appartenant à autrui ni ne disposait de valeurs patrimoniales qui lui auraient été confiées par autrui mais était au contraire titulaire du patrimoine visé.</w:t>
      </w:r>
    </w:p>
    <w:p>
      <w:r>
        <w:t>- 22 - Il a par ailleurs rappelé que N.________ était une société de capitaux à caractère personnel avec personnalité juridique au sens des art. 772 et 779 CO, mais que son patrimoine se confondant avec celui de sa propriétaire, celle-ci pouvait en disposer à sa guise. Il a ajouté que l’obligation légale de fidélité découlant du statut d’associée gérante de la prévenue n’était de toute façon pas impérative au vu de l’art. 803 al. 3 CP, lequel permettrait de renoncer au respect du devoir de fidélité par les associés et par les gérants. Il a encore retenu que l’assertion des recourantes selon laquelle la prévenue savait dès la fin de 2014 qu’elle allait vendre sa société M.________ SA, avec une obligation d’œuvrer dans le seul intérêt du futur repreneur dès ce moment-là, n’était aucunement étayée et paraissait pour le moins difficile à croire au regard des circonstances. En conséquence, le Ministère public a estimé qu’il était peu probable que la prévenue se soit sentie particulièrement liée à M.________ SA avant avril ou mai 2015 et que si l’ouverture des pourparlers avait déjà créé une relation juridique entre les partenaires et leur imposait des devoirs réciproques, notamment celui de négocier sérieusement et conformément à leurs véritables intentions, elle ne faisait en revanche pas naître une responsabilité pénale. Ce faisant, le Ministère public a estimé que X._______ était libre d’augmenter son salaire de 7'000 fr. à 9'000 fr. brut par mois à 100% à partir du 1er janvier 2015, précisant qu’elle ne l’avait pas fait unilatéralement et sans justification puisque son nouveau contrat de travail avait été soumis à Z.________ qui l’avait signé. S’agissant ensuite du véhicule BMW racheté par X._______ à N.________ pour le montant de 8'000 fr., le Ministère public a considéré qu’en sa qualité d’unique actionnaire et d’unique gérante, la prévenue était libre de fixer le prix de rachat dudit véhicule. En outre l’instruction avait permis d’établir que la transaction avait été faite en mars 2015, soit avant la vente de N.________, et qu’elle figurait dans la comptabilité intermédiaire de la société acheteuse.</w:t>
      </w:r>
    </w:p>
    <w:p>
      <w:r>
        <w:t>- 23 - Enfin, le Ministère public a indiqué qu’en sa qualité de seule dirigeante, X._______ était aussi légitimée à employer et à payer comme elle l’entendait son fils H.________, graphiste de formation, qui a travaillé ponctuellement pour N.________ depuis 2001 au moins et que les salaires de 5'000 fr. versés de janvier à juin 2015, soit avant la conclusion de la vente, ne concernaient en rien les parties plaignantes. De plus, rien ne permettrait d’étayer les accusations selon lesquelles H.________ n’aurait pas réellement mérité le complément de salaire de 15'000 fr. qui lui avait été versé rétroactivement pour 2014 et les salaires de 42'553 fr. 90 payés en 2015. La procureure est arrivée à la conclusion que, plusieurs éléments constitutifs faisant défaut, X._______ ne pouvait se voir reprocher une gestion déloyale ou un abus de confiance que ce soit à l’égard de M.________ SA ou à celui de N.________. 4.3.2 En l’espèce, l’infraction d’abus de confiance peut d’emblée être écartée faute de valeur confiée. En effet, on ne trouve, ni dans la plainte pénale, ni dans les auditions, ni dans les autres éléments du dossier, l’indication que les sociétés plaignantes auraient confié à X._______ une valeur avec l’indication d’en faire un usage déterminé. L’ordonnance peut être confirmée sur ce point, les éléments constitutifs de l’abus de confiance n’étant manifestement pas réalisés. 4.3.3 Ensuite, en ce qui concerne l’infraction de gestion déloyale, la procureure l’a écartée pour diverses raisons. Elle a tout d’abord relevé que dans la mesure où la prévenue était à la tête de sa propre entreprise, elle ne gérait pas les intérêts pécuniaires d’autrui, mais était au contraire titulaire du patrimoine visé. Certes, ce raisonnement pourrait s’appliquer à une entreprise individuelle, mais la présente cause concerne le cas d’une personne morale, dont le patrimoine est distinct de celui de la prévenue. Comme on l’a vu, le patrimoine d’une société anonyme reste distinct de celui de son actionnaire unique. Il en va de même de celui d’une société à responsabilité limitée comme en l’espèce. Quoi qu’il en soit, si X._______ n’avait aucun devoir de fidélité envers la société en tant qu’actionnaire, elle avait toutefois une telle responsabilité en sa qualité de gérante.</w:t>
      </w:r>
    </w:p>
    <w:p>
      <w:r>
        <w:t>- 24 - Ainsi, les recourantes ont raison lorsqu’elles affirment que l’interprétation que fait le Ministère public de l’art. 803 al. 3 CO – qui permet à une société à responsabilité limitée d’exercer des activités qui violent le devoir de fidélité – n’est pas exacte. En effet, cette disposition n’autorise en aucun cas des associés à renoncer purement et simplement à leur devoir de fidélité envers l’entreprise. La première question est ainsi de savoir si la prévenue a violé son devoir de fidélité découlant de son statut d’associée gérante. Il est reproché en premier lieu à X._______ d’avoir sans raison augmenté son salaire de 7'000 fr. à 9'000 fr. pour les mois de janvier 2015 à mai 2015. Toutefois, le 28 mai 2015, Z.________, au nom de N.________ – qu’il n’avait pas encore rachetée – a signé un contrat de travail avec X._______ prévoyant un salaire de 7'000 fr. pour un taux d’occupation de 80% (soit un salaire de 8'750 fr. à plein temps). Ce contrat n’a jamais été contesté et a été entériné par la Cour d’appel civile (P. 57/2). Dans ces conditions, il n’est pas possible de considérer que la prévenue se soit octroyée indûment un salaire de 9'000 fr. ni par conséquent qu’il y ait là un acte de gestion déloyale envers N.________. L’ordonnance attaquée est ainsi bien fondée sur ce point. En revanche, il n’y a aucune explication claire pour le rétroactif de salaire de 18'000 fr. que s’est octroyé X._______ en mars 2015 pour 2014 et le rétroactif de 15'000 fr. versé à son fils pour 2014, alors qu’il semblerait qu’il n’ait pas travaillé cette année-là pour la société N.________. Les explications fournies par la prévenue sur cette question ne sont pas suffisantes. Il en va de même des explications données par son fils. A cela s’ajoute que ces montants n’ont pas été versés sur les comptes où étaient habituellement versés les salaires. A cet égard, il n’est pas exclu que des montants aient été indûment prélevés avant la vente de la société. Il incombera dès lors à la procureure de faire porter l’instruction sur ce point, notamment en réentendant les intéressés et en se faisant</w:t>
      </w:r>
    </w:p>
    <w:p>
      <w:r>
        <w:t>- 25 - produire les pièces utiles. Il serait en outre intéressant de savoir de quelle manière ces montants ont été comptabilisés. Par ailleurs, les salaires versés à H.________ en 2015 soulèvent également des interrogations. Il incombera à la procureure de déterminer si ces sommes correspondent réellement à des prestations fournies par celui-ci car ici encore les déclarations faites par X._______ ne sont pas suffisantes, pas plus que celles de son fils, lequel n’a d’ailleurs pas pu donner d’explications sur ce point lors de sa première audition. A cet égard, les pièces produites par l’intéressé (cf. P. 28), n’ont pas une grande valeur probante et il appartiendra à la procureure d’instruire plus avant cette question. Au vu du résultat de ces investigations, H.________ pourrait se voir prévenu de complicité de gestion déloyale. 4.3.4 Il est encore reproché à X._______ d’avoir acheté à un « prix d’ami », bien inférieur au prix de l’argus, la voiture de marque BMW enregistrée au nom de la société N.________. Elle aurait ainsi causé à celle- ci un manque à gagner de 8'000 francs. En l’occurrence, X._______ a admis s’être fait un « prix d’ami ». Elle a déclaré avoir averti Z.________ de la vente et celle-ci figure d’ailleurs dans les comptes. Il est possible, mais pas certain, que la vente de ce véhicule ait pu rapporter plus. L’argus est une chose, l’état du marché en est une autre. On sait que la vente de véhicules d’occasion est depuis quelques années en forte baisse. Dans la mesure où Z.________ était au courant de cette vente et qu’il n’a rien trouvé à y redire, on peut admettre que l’infraction de gestion déloyale n’est pas suffisamment caractérisée par le seul fait d’avoir repris le véhicule à un prix réduit, l’intention faisant à l’évidence défaut. Sur cette question, le classement peut être confirmé. 5. 5.1 Les recourantes font encore valoir que X._______ aurait, dans le cadre du procès civil contre M.________ SA pour le paiement d’un bonus pour l’année 2015, produit une feuille A4 comportant diverses indications</w:t>
      </w:r>
    </w:p>
    <w:p>
      <w:r>
        <w:t>- 26 - manuscrites en prétendant que Z.________ en était l’auteur, ce qui serait faux. X._______ se serait ainsi rendue coupable de faux dans les titres au détriment d’M.________ SA. 5.2 5.2.1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(al. 1), ou aura, pour tromper autrui, fait usage d'un tel titre (al. 2). La notion de titre est définie par l'art. 110 al. 4 CP. Selon cette disposition, sont des titres tous les écrits destinés et propres à prouver un fait ayant une portée juridique et tous les signes destinés à prouver un tel fait.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ATF 132 IV 12 consid. 8.1 ; ATF 129 IV 130 consid. 2.1 ; ATF 126 IV 65 consid. 2a ; TF 6B_891/2018 du 31 octobre 2018 consid. 3.3.1).</w:t>
      </w:r>
    </w:p>
    <w:p>
      <w:r>
        <w:t>- 27 - L’art. 251 ch. 1 al. 1 CP réprime également celui qui « fait constater faussement, dans un titre, un fait ayant une portée juridique ». On s’accorde à dire que cette formule vise le cas de l’auteur médiat commettant un faux intellectuel. Cette mention est en soi inutile ; elle a cependant le mérite d’attirer l’attention sur le fait que l’auteur de l’infraction n’est pas nécessairement celui qui rédige l’écrit, qui appose le signe ou introduit la donnée. Il ne suffit pas, pour conclure que l’accusé n’a pas commis l’infraction prévue par l’art. 251 ch. 1 al. 1 CP, de constater qu’il n’a pas lui-même accompli l’un de ces actes. Si une personne en manipule une autre en l’amenant, dans l’ignorance de la situation réelle, à réaliser objectivement un acte de faux, la première doit être considérée comme auteur médiat de l’infraction (Corboz, Les infractions en droit suisse, vol. II, 3e éd., Berne 2010, n. 81 à 88 ad art. 251 CP). 5.2.2 Selon l’art. 191 CPC (Code de procédure civile ; RS 272), le tribunal peut auditionner les deux parties ou l’une d’entre elles sur les faits de la cause (al. 1), après les avoir exhortées à répondre conformément à la vérité et les avoir rendues attentives à la peine applicable en cas de mensonge délibéré (al. 2). Aux termes de l’art. 192 CPC, le tribunal peut d’office, sous menace de sanctions pénales, contraindre les deux parties ou l’une d’entre elles à faire une déposition (al. 1). Les parties sont exhortées au préalable à répondre conformément à la vérité ; le tribunal les rend attentives aux conséquences d’une fausse déclaration (art. 306 CP) (al. 2). Selon l’art. 193 CPC, l’art. 176 CPC, relatif à la tenue du procès-verbal des témoignages, s’applique par analogie à la verbalisation de l’interrogatoire et de la déposition des parties. 5.2.3 Selon l’art. 306 al. 1 CP (Code pénal suisse du 21 décembre 1937 ; RS 311.0), celui qui, étant partie dans un procès civil, aura donné sur les faits de la cause, après avoir été expressément invité par le juge à dire la vérité et rendu attentif aux suites pénales, une fausse déclaration</w:t>
      </w:r>
    </w:p>
    <w:p>
      <w:r>
        <w:t>- 28 - constituant un moyen de preuve, sera puni d’une peine privative de liberté de trois ans au plus ou d’une peine pécuniaire. 5.3 5.3.1 A cet égard la procureure a retenu en premier lieu que les indications inscrites sur la feuille A4 litigieuse correspondaient à la réalité de ce qui avait été discuté entre la prévenue et [...], ainsi que ce dernier l’avait confirmé lors de son interrogatoire par le Tribunal de prud’hommes (P. 57/2, p. 7-8). En second lieu, rien dans cette note, sur laquelle ne figurait ni intitulé, ni nom, ni signature, ne poussait le lecteur à croire faussement que son auteur apparent serait Z.________. Le fait que X._______ ait pu soutenir que l’intéressé l’avait rédigé – ce qui n’est étayé par aucune pièce au dossier au demeurant – ne faisait pas de ce document un faux matériel ou un faux intellectuel, ni même un mensonge écrit. L’infraction de faux dans les titres ne serait ainsi pas réalisée. 5.3.2 En l’occurrence force est de constater que le document litigieux produit ne constitue, ni dans le cadre d’un faux matériel, ni dans celui d’un faux intellectuel, un faux dans les titres. En effet, pour les raisons mentionnées par la procureure et rappelées ci-dessus (cf. consid. 5.3.1 supra), la pièce produite (soit un décompte non signé) n’est en elle- même pas critiquable. En revanche, ce qui pourrait être critiquable réside dans l’affirmation de X._______ selon laquelle Z.________ était l’auteur de ce document, dans le cadre d’une procédure civile. Cela pourrait être constitutif d’une fausse déclaration d’une partie en justice au sens de l’art. 306 CP. Il faudrait toutefois que les conditions de cette infraction soient réalisées, notamment que X._______ ait été expressément invitée à dire la vérité et rendue attentive aux suites pénales d’une fausse déclaration en justice, à savoir qu’elle serait susceptible d’être punie d’une peine privative de liberté de 3 ans au plus ou d’une peine pécuniaire. Or, le procès-verbal de l’interrogatoire de l’intéressée devant le Tribunal de prud’hommes du 20 novembre 2017 (P. 20/6), mentionne ce qui suit : « Est interrogée, en qualité de partie, X._______ (…) la partie est</w:t>
      </w:r>
    </w:p>
    <w:p>
      <w:r>
        <w:t>- 29 - exhortée à dire la vérité et informée du fait qu’en cas de mensonge délibéré, elle peut être punie d’une amende ». Force est ainsi de constater que dans les procès-verbaux d’audition du tribunal de Prud’hommes, il est fait mention « d’interrogatoire », à deux reprises, de l’exhortation à dire la vérité, et de l’avertissement qu’en cas de mensonge délibéré, elle pourrait être punie d’une amende. Il s’agit du texte mot pour mot de l’art. 191 CPC. Autrement dit, le tribunal a procédé à l’« interrogatoire de la partie » à forme de l’art. 191 CPC, à l’exclusion de sa « déposition » à forme de l’art. 192 CPC, laquelle aurait impliqué la lecture de l’art. 306 CP. Une condamnation pour fausse déclaration en justice au sens de l’art. 306 CP est par conséquent exclue.</w:t>
      </w:r>
    </w:p>
    <w:p>
      <w:r>
        <w:rPr>
          <w:b/>
        </w:rPr>
        <w:t>E. 6</w:t>
      </w:r>
    </w:p>
    <w:p>
      <w:r>
        <w:t>S’agissant d’une éventuelle violation du principe de célérité évoquée dans leur recours, les recourantes admettent ne pas avoir d’intérêt juridiquement protégé à faire constater une telle violation et déclarent expressément ne pas prendre de conclusion en ce sens. Il n’est par conséquent pas nécessaire d’examiner plus avant ce moyen.</w:t>
      </w:r>
    </w:p>
    <w:p>
      <w:r>
        <w:rPr>
          <w:b/>
        </w:rPr>
        <w:t>E. 7</w:t>
      </w:r>
    </w:p>
    <w:p>
      <w:r>
        <w:t>En définitive, le recours doit être partiellement admis et l'ordonnance attaquée annulée pour l’infraction de gestion déloyale en lien avec les rétroactifs de salaire que la prévenue a fait verser en 2015 par N.________ à elle-même et à son fils pour 2014, ainsi que pour les salaires que celui-ci a touchés de N.________ en 2015. Elle sera confirmée en tant qu’elle vaut classement des poursuites pénales dirigées contre X._______ pour les infractions d’escroquerie, d’abus de confiance, de gestion déloyale (en lien avec le montant du salaire figurant dans le contrat de travail du 28 mai 2015 et avec le véhicule BMW X1), de faux dans les titres et de fausse déclaration d’une partie en justice. Les frais d'arrêt, par 3'080 fr. (art. 20 al. 1 TFIP [Tarif des frais judiciaires de procédure et indemnités en matière pénale du 28 septembre 2010 ; BLV 312.03.1]), doivent être mis à concurrence de deux tiers, soit 2'053 fr. 35 à la charge de M.________ SA et N.________, solidairement entre elles, qui succombent dans une large mesure (cf. art. 428 al. 1 CPP), et mis par un tiers à la charge de X._______.</w:t>
      </w:r>
    </w:p>
    <w:p>
      <w:r>
        <w:t>- 30 - Les recourantes, qui ont procédé avec l’assistance de deux avocats de choix et qui ont partiellement obtenu gain de cause (à hauteur d’un tiers), ont droit, à une indemnité réduite pour les dépenses obligatoires occasionnées par la procédure de recours (art. 433 al. 1 let. a CPP, applicable par renvoi de l’art. 436 al. 1 CPP), à la charge de l’intimée. Au vu des écritures produites et de la nature de l’affaire, la pleine indemnité sera fixée à 1’500 fr. (cinq heures d’activité nécessaire d’avocat à 300 fr. ; art. 26a al. 3 TFIP), montant auquel il convient d’ajouter des débours forfaitaires à concurrence de 2 % des honoraires admis (art. 19 al. 2 TDC [Tarif des dépens en matière civile du 23 novembre 2010 ; BLV 270.11.6], applicable par renvoi de l'art. 26a al. 6 TFIP), par 30 fr., et la TVA au taux de 7,7 %, par 117 fr. 80, soit à 1’647 fr. 80 au total. Vu le parallélisme entre le sort des frais et celui des indemnités (ATF 137 IV 352 consid. 2.4.2, JdT 2012 IV 255), elle sera réduite de deux tiers, soit à 550 fr., en chiffres arrondis. L'intimée, qui a procédé avec l’assistance d’un avocat de choix et qui a partiellement obtenu gain de cause (à hauteur de deux tiers), a droit, à une indemnité réduite pour les dépenses obligatoires occasionnées par la procédure de recours (art. 433 al. 1 let. a CPP, applicable par renvoi de l’art. 436 al. 1 CPP), à la charge des parties recourantes, solidairement entre elles. Au vu des déterminations produites et de la nature de l’affaire, la pleine indemnité sera fixée à 900 fr. (trois heures d’activité nécessaire d’avocat à 300 fr. ; art. 26a al. 3 TFIP), montant auquel il convient d’ajouter des débours forfaitaires à concurrence de 2 % des honoraires admis (art. 19 al. 2 TDC [Tarif des dépens en matière civile du 23 novembre 2010 ; BLV 270.11.6], applicable par renvoi de l'art. 26a al. 6 TFIP), par 18 fr., et la TVA au taux de 7,7 %, par 70 fr. 70, soit à 988 fr. 70 au total. Vu le parallélisme entre le sort des frais et celui des indemnités (ATF 137 IV 352 consid. 2.4.2, JdT 2012 IV 255), elle sera réduite d’un tiers, soit à 660 fr., en chiffres arrondis. Par ces motifs,</w:t>
      </w:r>
    </w:p>
    <w:p>
      <w:r>
        <w:t>- 31 - la Chambre des recours pénale prononce : I. Le recours de M.________ SA est rejeté dans la mesure où il est recevable. II. Le recours de N.________rl est partiellement admis dans la mesure où il est recevable. III. L’ordonnance du 15 juillet 2021 est annulée en tant qu’elle vaut classement pour l’infraction de gestion déloyale. L’ordonnance est confirmée pour le surplus. IV. Le dossier de la cause est renvoyé au Ministère public de l’arrondissement de Lausanne pour qu’il procède dans le sens des considérants. V. L'indemnité réduite allouée à M.________ SA et N.________l, solidairement entre elles, pour l'exercice raisonnable de leurs droits de parties dans la procédure de recours est fixée à 550 fr. (cinq cent cinquante francs), à la charge de X._______. VI. L'indemnité réduite allouée à X._______ pour l'exercice raisonnable de ses droits de partie dans la procédure de recours est fixée à 660 fr. (six cent soixante francs), à la charge de M.________ SA et N.________, solidairement entre elles. VII. Les frais d’arrêt, par 3'080 fr. (trois mille huitante francs), sont mis à concurrence de deux tiers, soit par 2'053 fr. 30 (deux mille cinquante-trois francs et trente centimes), à la charge de M.________ SA et N.________, solidairement entre elles, le solde, par un tiers, soit 1'026 fr. 70 (mille vingt-six francs et septante centimes), étant mis à la charge de X._______. VIII. L’arrêt est exécutoire. Le président : La greffière : Du</w:t>
      </w:r>
    </w:p>
    <w:p>
      <w:r>
        <w:t>- 32 - Le présent arrêt, dont la rédaction a été approuvée à huis clos, est notifié, par l'envoi d'une copie complète, à : - Me Jean-Noël Jaton et Me Olivier Constantin, avocats (pour M.________ SA et N.________), - Me Jean-Claude Mathey, avocat (pour X._______),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