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PE17.002324 vom 21. August 2019</w:t>
      </w:r>
    </w:p>
    <w:p>
      <w:r>
        <w:t>VD Tribunal cantonal, 2019-08-21, FR</w:t>
      </w:r>
    </w:p>
    <w:p>
      <w:r>
        <w:rPr>
          <w:b/>
        </w:rPr>
        <w:t xml:space="preserve">Quelle: </w:t>
      </w:r>
      <w:r>
        <w:t>https://mcp.opencaselaw.ch/entscheid/vd_gerichte_PE17.002324</w:t>
      </w:r>
    </w:p>
    <w:p>
      <w:r>
        <w:t>FR: VD_GERICHTE PE17.002324 du 21 août 2019</w:t>
      </w:r>
    </w:p>
    <w:p>
      <w:r>
        <w:t>IT: VD_GERICHTE PE17.002324 del 21 agosto 2019</w:t>
      </w:r>
    </w:p>
    <w:p>
      <w:pPr>
        <w:pStyle w:val="Heading2"/>
      </w:pPr>
      <w:r>
        <w:t>Erwägungen</w:t>
      </w:r>
    </w:p>
    <w:p>
      <w:r>
        <w:rPr>
          <w:b/>
        </w:rPr>
        <w:t>E. 3.1</w:t>
      </w:r>
    </w:p>
    <w:p>
      <w:r>
        <w:t>Le recourant considère tout d'abord que le prévenu se serait trouvé dans une position de garant, que celle-ci découle de la loi (art. 11 al. 2 let. a CP [Code pénal suisse du 21 décembre 1937; RS 311.0]), d'un contrat (art. 11 al. 2 let. b CP) ou de la création d'un risque (art. 11 al. 2 let. d CP). Il estime également que P.________ aurait commis une négligence fautive avec une très haute vraisemblance, en précisant que l'instruction menée par le Ministère public n'aurait, à tort, pas cherché à définir le devoir de prudence qui pourrait incomber au prévenu dans le cas d'espèce et qu'il serait dès lors impossible à ce stade de se prononcer sur un éventuel comportement blâmable de ce dernier. En outre, le recourant constate d'ores et déjà qu'aucun élément du dossier ne ferait état de la moindre mesure d'entretien du monte-charge de la part du prévenu, installation qui ne répondrait d'ailleurs pas, selon les policiers dépêchés sur les lieux, aux normes sécuritaires en vigueur. Ainsi, une condamnation pour lésions corporelles graves par négligence apparaîtrait des plus probables.</w:t>
      </w:r>
    </w:p>
    <w:p>
      <w:r>
        <w:rPr>
          <w:b/>
        </w:rPr>
        <w:t>E. 3.2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w:t>
      </w:r>
    </w:p>
    <w:p>
      <w:r>
        <w:t>- 6 - prudence doit être fautive, c'est-à-dire qu'il faut pouvoir reprocher à l'auteur une inattention ou un manque d'effort blâmable (ATF 135 IV 56 consid. 2.1 ; ATF 134 IV 255 consid. 4.2.3 ;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 TF 6B_661/2015 du 17 mai 2016 consid. 2.1 ;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 ATF 113 IV 68 consid. 5 ; TF 6B_661/2015 du 17 mai 2016 consid. 2.1).</w:t>
      </w:r>
    </w:p>
    <w:p>
      <w:r>
        <w:t>- 7 -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w:t>
      </w:r>
    </w:p>
    <w:p>
      <w:r>
        <w:rPr>
          <w:b/>
        </w:rPr>
        <w:t>E. 3.3</w:t>
      </w:r>
    </w:p>
    <w:p>
      <w:r>
        <w:t>En l'espèce, l'ordonnance entreprise paraît lacunaire. La procureure s'est en effet concentrée sur le devoir de prudence, qui aurait été respecté par le prévenu, et sur l'absence de faute. En revanche, la</w:t>
      </w:r>
    </w:p>
    <w:p>
      <w:r>
        <w:t>- 8 - procureure, dans le cadre de sa motivation, a considéré qu'il n'y avait pas lieu, au vu de l'absence d'éléments constitutifs de l'infraction, de définir quelles normes étaient applicables à un tel cas de figure. Cette manière de procéder ne saurait être confirmée, d'autant moins que les critères retenus pour nier un devoir de prudence ne paraissent pas pertinents. Premièrement, la position de garant peut résulter non seulement de la loi ou d'un contrat, mais aussi de la création d'un risque (art. 11 al. 2 let. d CP notamment ; TF 6P.98/2006 du 20 octobre 2006, SJ 2006 I p. 161 ; TF 6B_661/2015 du 17 mai 2016). Dès lors, contrairement à ce que retient l'ordonnance, il importe peu que le recourant ait été au bénéfice d'un contrat de travail, ou seulement bénévole, tout comme il importe peu que la construction du monte-charge n'ait pas été réalisée par le prévenu, puisque celui-ci savait que l'engin était dangereux et avait donné des consignes pour qu'il ne soit pas utilisé pour monter et descendre des personnes. En tant que propriétaire du monte-charge et exploitant de l'endroit, le prévenu avait bien une position de garant. Deuxièmement, pour définir quels étaient ses devoirs, il est nécessaire d'examiner quelles règles le prévenu devait respecter. D'abord, il y a lieu de déterminer si l'OPA (Ordonnance sur la prévention des accidents et des maladies professionnelles du 19 décembre 1983 ; RS 832.30), qui ne s'applique certes pas aux ménages privés (art. 2 al. 1 let. a OPA), mais à toutes les entreprises, que le travailleur soit salarié ou bénévole, est applicable. Ensuite, il y a lieu de rechercher quelles sont les normes spécifiques en lien avec le montage et l'exploitation d'un monte- charge qui pourraient être pertinentes, d'autant plus qu'il ressort du rapport de police (P. 4) que le prévenu avait "bricolé" l'engin et qu'il ne répondait pas aux normes élémentaires de sécurité selon la conclusion des gendarmes. Or, l'ancien conseil du plaignant a déposé le 30 novembre 2017 une première analyse des règles juridiques qui pourraient être applicables (P. 16), dont il a extrait l'OAsc (Ordonnance sur la sécurité des ascenseurs ; RS 930.112) et l'OMach (Ordonnance sur la sécurité des machines ; RS 819.14), dont l'art. 2 et son renvoi à la Directive européenne relative aux machines (Directive 2006/42/CE du Parlement</w:t>
      </w:r>
    </w:p>
    <w:p>
      <w:r>
        <w:t>- 9 - européen et du Conseil du 17 mai 2006 relative aux machines) démontrent que des règles existent quant à la protection des personnes lors de l'utilisation de tels engins. Or, ces questions n'ont pas été abordées dans l'ordonnance au motif qu'elles n'avaient pas d'objet, ce qui s'avère erroné comme on l'a vu. Troisièmement, l'ordonnance attaquée nie toute faute du prévenu au motif qu'il avait fait interdiction au recourant de transporter des personnes sur le monte-charge, plus précisément de monter sur la plateforme de l'appareil lors de manœuvres. Il n'aurait donc pas consciemment provoqué la situation ayant mis en danger la vie de celui-ci. Or, les conditions subjectives d'une telle infraction présuppose que l'auteur connaisse le danger qui menace le bien juridique protégé, les possibilités d'intervenir pour éviter sa concrétisation, ainsi que sa position de garant, en étant conscient du fait que son omission viole son obligation d'intervenir (ATF 114 IV 148, JdT 1988 I 712 ; ATF 109 IV 137 notamment). Or, faute de disposer de chacun de ses éléments, il n'est pas possible d'affirmer que le prévenu a respecté son devoir simplement en interdisant au recourant de monter sur le monte-charge, cela d'autant moins qu'il n'était pas présent au moment des faits et ne pouvait donc contrôler ou faire contrôler l'interdiction. En outre, comme on l'a vu, les autres éléments constitutifs devront ensuite faire également, le cas échéant, l'objet d'un examen (lien de causalité, rupture de ce lien). En conclusion, il apparaît que la motivation de l'ordonnance entreprise n'est pas convaincante, pas plus que l'instruction n'apparaît suffisante au regard des règles de sécurité applicables et des modalités qui avaient été prises ou au contraire omises.</w:t>
      </w:r>
    </w:p>
    <w:p>
      <w:r>
        <w:rPr>
          <w:b/>
        </w:rPr>
        <w:t>E. 4</w:t>
      </w:r>
    </w:p>
    <w:p>
      <w:r>
        <w:t>En définitive, le recours formé par F.________ doit être admis et l’ordonnance de classement du 9 avril 2019 annulée. Le dossier de la cause sera renvoyé au Ministère public de l’arrondissement de l'Est vaudois pour complément d'instruction.</w:t>
      </w:r>
    </w:p>
    <w:p>
      <w:r>
        <w:t>- 10 - Me Fabien Morand, conseil juridique gratuit du recourant, indique qu'il a consacré 8 heures et 5 minutes à l'exercice de son mandat. Au vu des opérations accomplies, le temps que celui-ci allègue avoir consacré à sa mission est excessif et doit être réduit. Ainsi, il sera retenu un total de 4 heures de travail au tarif horaire de 180 fr. (art. 2 al. 1 let. a et 3 al. 2 RAJ [règlement sur l'assistance judiciaire en matière civile du</w:t>
      </w:r>
    </w:p>
    <w:p>
      <w:r>
        <w:rPr>
          <w:b/>
        </w:rPr>
        <w:t>E. 7</w:t>
      </w:r>
    </w:p>
    <w:p>
      <w:r>
        <w:t>décembre 2010 ; BLV 211.02.3], applicables par renvoi de l'art. 26b TFIP [tarif des frais de procédure et indemnités en matière pénale du 28 septembre 2010 ; BLV 312.03.1]), soit 720 francs. S'y ajoutent 2 % pour les débours (art. 3bis al. 1 RAJ, applicable par renvoi de l'art. 26b TFIP), soit 14 fr. 40, de sorte que l'indemnité d'office s'élève au total à 790 fr. 95, TVA par 7,7 % incluse. Les frais de la procédure de recours, par 1'100 fr. (art. 20 al. 1 TFIP), ainsi que l'indemnité allouée au conseil juridique gratuit du recourant, par 790 fr. 95, seront mis à la charge de P.________, qui a conclu au rejet du recours et qui succombe (art. 428 al. 1 CPP). Par ces motifs, la Chambre des recours pénale prononce : I. Le recours est admis. II. L'ordonnance du 9 avril 2019 est annulée. III. Le dossier de la cause est renvoyé au Ministère public de l'arrondissement de l'Est vaudois pour qu'il procède dans le sens des considérants. IV. L'indemnité allouée au conseil juridique gratuit de F.________ pour la procédure de recours est fixée à 790 fr. 95 (sept cent nonante francs et nonante-cinq centimes), TVA et débours compris. V. Les frais d'arrêt, par 1'100 fr. (mille cent francs), ainsi que l'indemnité allouée au conseil juridique gratuit de F.________,</w:t>
      </w:r>
    </w:p>
    <w:p>
      <w:r>
        <w:t>- 11 - par 790 fr. 95 (sept cent nonante francs et nonante-cinq centimes), sont mis à la charge de P.________. VI. L’arrêt est exécutoire. Le président : Le greffier : Du Le présent arrêt, dont la rédaction a été approuvée à huis clos, est notifié, par l'envoi d'une copie complète, à : - Me Fabien Morand, avocat (pour F.________), - Me Amédée Kasser, avocat (pour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